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bookmarkStart w:id="0" w:name="_GoBack"/>
      <w:bookmarkEnd w:id="0"/>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b/>
          <w:bCs/>
          <w:szCs w:val="20"/>
          <w:u w:val="single"/>
        </w:rPr>
      </w:pPr>
      <w:r w:rsidRPr="000C6F06">
        <w:rPr>
          <w:rFonts w:ascii="Times New Roman" w:eastAsia="Times New Roman" w:hAnsi="Times New Roman" w:cs="Times New Roman"/>
          <w:szCs w:val="20"/>
        </w:rPr>
        <w:tab/>
      </w:r>
      <w:r w:rsidRPr="000C6F06">
        <w:rPr>
          <w:rFonts w:ascii="Times New Roman" w:eastAsia="Times New Roman" w:hAnsi="Times New Roman" w:cs="Times New Roman"/>
          <w:b/>
          <w:bCs/>
          <w:szCs w:val="20"/>
          <w:u w:val="single"/>
        </w:rPr>
        <w:t>MUTUAL CONFIDENTIALITY AND NON-DISCLOSURE AGREEMENT</w:t>
      </w: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u w:val="single"/>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Mutual Confidentiality and Non-Disclosure Agreement (“Confidentiality Agreement”) is made between </w:t>
      </w:r>
      <w:r w:rsidRPr="000C6F06">
        <w:rPr>
          <w:rFonts w:ascii="Times New Roman" w:eastAsia="Times New Roman" w:hAnsi="Times New Roman" w:cs="Times New Roman"/>
          <w:b/>
          <w:szCs w:val="20"/>
        </w:rPr>
        <w:t xml:space="preserve">State Regulatory </w:t>
      </w:r>
      <w:r w:rsidR="001E0707">
        <w:rPr>
          <w:rFonts w:ascii="Times New Roman" w:eastAsia="Times New Roman" w:hAnsi="Times New Roman" w:cs="Times New Roman"/>
          <w:b/>
          <w:szCs w:val="20"/>
        </w:rPr>
        <w:t>Registry</w:t>
      </w:r>
      <w:r w:rsidRPr="000C6F06">
        <w:rPr>
          <w:rFonts w:ascii="Times New Roman" w:eastAsia="Times New Roman" w:hAnsi="Times New Roman" w:cs="Times New Roman"/>
          <w:b/>
          <w:szCs w:val="20"/>
        </w:rPr>
        <w:t xml:space="preserve"> LLC (“Company”),</w:t>
      </w:r>
      <w:r w:rsidRPr="000C6F06">
        <w:rPr>
          <w:rFonts w:ascii="Times New Roman" w:eastAsia="Times New Roman" w:hAnsi="Times New Roman" w:cs="Times New Roman"/>
          <w:szCs w:val="20"/>
        </w:rPr>
        <w:t xml:space="preserve"> and its affiliates, whose principal offices are located at </w:t>
      </w:r>
      <w:r w:rsidRPr="000C6F06">
        <w:rPr>
          <w:rFonts w:ascii="Times New Roman" w:eastAsia="Times New Roman" w:hAnsi="Times New Roman" w:cs="Times New Roman"/>
          <w:b/>
          <w:szCs w:val="20"/>
        </w:rPr>
        <w:t>1129 20</w:t>
      </w:r>
      <w:r w:rsidRPr="000C6F06">
        <w:rPr>
          <w:rFonts w:ascii="Times New Roman" w:eastAsia="Times New Roman" w:hAnsi="Times New Roman" w:cs="Times New Roman"/>
          <w:b/>
          <w:szCs w:val="20"/>
          <w:vertAlign w:val="superscript"/>
        </w:rPr>
        <w:t>th</w:t>
      </w:r>
      <w:r w:rsidRPr="000C6F06">
        <w:rPr>
          <w:rFonts w:ascii="Times New Roman" w:eastAsia="Times New Roman" w:hAnsi="Times New Roman" w:cs="Times New Roman"/>
          <w:b/>
          <w:szCs w:val="20"/>
        </w:rPr>
        <w:t xml:space="preserve"> Street NW, Washington D.C. 20036</w:t>
      </w:r>
      <w:r w:rsidRPr="000C6F06">
        <w:rPr>
          <w:rFonts w:ascii="Times New Roman" w:eastAsia="Times New Roman" w:hAnsi="Times New Roman" w:cs="Times New Roman"/>
          <w:szCs w:val="20"/>
        </w:rPr>
        <w:t xml:space="preserve"> and </w:t>
      </w:r>
      <w:r w:rsidRPr="000C6F06">
        <w:rPr>
          <w:rFonts w:ascii="Times New Roman" w:eastAsia="Times New Roman" w:hAnsi="Times New Roman" w:cs="Times New Roman"/>
          <w:b/>
          <w:szCs w:val="20"/>
        </w:rPr>
        <w:t>&lt;</w:t>
      </w:r>
      <w:r w:rsidRPr="000C6F06">
        <w:rPr>
          <w:rFonts w:ascii="Times New Roman" w:eastAsia="Times New Roman" w:hAnsi="Times New Roman" w:cs="Times New Roman"/>
          <w:b/>
          <w:i/>
          <w:szCs w:val="20"/>
        </w:rPr>
        <w:t>Vendor Name Here</w:t>
      </w:r>
      <w:r w:rsidRPr="000C6F06">
        <w:rPr>
          <w:rFonts w:ascii="Times New Roman" w:eastAsia="Times New Roman" w:hAnsi="Times New Roman" w:cs="Times New Roman"/>
          <w:b/>
          <w:szCs w:val="20"/>
        </w:rPr>
        <w:t>&gt;</w:t>
      </w:r>
      <w:r w:rsidRPr="000C6F06">
        <w:rPr>
          <w:rFonts w:ascii="Times New Roman" w:eastAsia="Times New Roman" w:hAnsi="Times New Roman" w:cs="Times New Roman"/>
          <w:szCs w:val="20"/>
        </w:rPr>
        <w:t xml:space="preserve"> whose principal offices are located at </w:t>
      </w:r>
      <w:r w:rsidRPr="000C6F06">
        <w:rPr>
          <w:rFonts w:ascii="Times New Roman" w:eastAsia="Times New Roman" w:hAnsi="Times New Roman" w:cs="Times New Roman"/>
          <w:b/>
          <w:szCs w:val="20"/>
        </w:rPr>
        <w:t>______________________.</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In consideration of each party’s provision of access to certain confidential information by the other in order to permit the parties to discuss current and future potential business relationships </w:t>
      </w:r>
      <w:r w:rsidR="000C582B">
        <w:rPr>
          <w:rFonts w:ascii="Times New Roman" w:eastAsia="Times New Roman" w:hAnsi="Times New Roman" w:cs="Times New Roman"/>
          <w:szCs w:val="20"/>
        </w:rPr>
        <w:t>regarding the Nationwide M</w:t>
      </w:r>
      <w:r w:rsidR="00B57289">
        <w:rPr>
          <w:rFonts w:ascii="Times New Roman" w:eastAsia="Times New Roman" w:hAnsi="Times New Roman" w:cs="Times New Roman"/>
          <w:szCs w:val="20"/>
        </w:rPr>
        <w:t>ortgage</w:t>
      </w:r>
      <w:r w:rsidR="000C582B">
        <w:rPr>
          <w:rFonts w:ascii="Times New Roman" w:eastAsia="Times New Roman" w:hAnsi="Times New Roman" w:cs="Times New Roman"/>
          <w:szCs w:val="20"/>
        </w:rPr>
        <w:t xml:space="preserve"> Licensing System </w:t>
      </w:r>
      <w:r w:rsidR="00B57289">
        <w:rPr>
          <w:rFonts w:ascii="Times New Roman" w:eastAsia="Times New Roman" w:hAnsi="Times New Roman" w:cs="Times New Roman"/>
          <w:szCs w:val="20"/>
        </w:rPr>
        <w:t xml:space="preserve">and Registry </w:t>
      </w:r>
      <w:r w:rsidR="000C582B">
        <w:rPr>
          <w:rFonts w:ascii="Times New Roman" w:eastAsia="Times New Roman" w:hAnsi="Times New Roman" w:cs="Times New Roman"/>
          <w:szCs w:val="20"/>
        </w:rPr>
        <w:t xml:space="preserve">(NMLS) Modernization </w:t>
      </w:r>
      <w:r w:rsidRPr="000C6F06">
        <w:rPr>
          <w:rFonts w:ascii="Times New Roman" w:eastAsia="Times New Roman" w:hAnsi="Times New Roman" w:cs="Times New Roman"/>
          <w:szCs w:val="20"/>
        </w:rPr>
        <w:t xml:space="preserve">between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(collectively, “Project”) and for other good and valuable consideration, the sufficiency of which is acknowledged, it is agreed as follows: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0C6F06">
        <w:rPr>
          <w:rFonts w:ascii="Times New Roman" w:eastAsia="Times New Roman" w:hAnsi="Times New Roman" w:cs="Times New Roman"/>
          <w:szCs w:val="20"/>
        </w:rPr>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0C6F06">
        <w:rPr>
          <w:rFonts w:ascii="Times New Roman" w:eastAsia="Times New Roman" w:hAnsi="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0C6F06">
        <w:rPr>
          <w:rFonts w:ascii="Times New Roman" w:eastAsia="Times New Roman" w:hAnsi="Times New Roman" w:cs="Times New Roman"/>
          <w:szCs w:val="20"/>
        </w:rPr>
        <w:t xml:space="preserve">. </w:t>
      </w:r>
      <w:r w:rsidRPr="000C6F06">
        <w:rPr>
          <w:rFonts w:ascii="Times New Roman" w:eastAsia="Times New Roman" w:hAnsi="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Upon written demand by the disclosing party or upon termination of this Confidentiality Agreement, the receiving party shall: (i)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w:t>
      </w:r>
      <w:r w:rsidRPr="000C6F06">
        <w:rPr>
          <w:rFonts w:ascii="Times New Roman" w:eastAsia="Times New Roman" w:hAnsi="Times New Roman" w:cs="Times New Roman"/>
        </w:rPr>
        <w:t>.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0C6F06" w:rsidDel="0027205E">
        <w:rPr>
          <w:rFonts w:ascii="Times New Roman" w:eastAsia="Times New Roman" w:hAnsi="Times New Roman" w:cs="Times New Roman"/>
          <w:szCs w:val="20"/>
        </w:rPr>
        <w:t xml:space="preserve"> </w:t>
      </w:r>
      <w:r w:rsidRPr="000C6F06">
        <w:rPr>
          <w:rFonts w:ascii="Times New Roman" w:eastAsia="Times New Roman" w:hAnsi="Times New Roman" w:cs="Times New Roman"/>
          <w:szCs w:val="20"/>
        </w:rPr>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In the event that a party receives a subpoena or other validly issued administrative or judicial process requesting Confidential Information received from the other, the receiving party shall provide prompt actual notice to, in the case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the General Counsel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in the case of Company, to the General Counsel of Company, of such receipt, providing the party with a reasonable opportunity to intervene in the proceeding before the time that the other party is required to comply with such subpoena or other process.  </w:t>
      </w:r>
      <w:r w:rsidRPr="000C6F06">
        <w:rPr>
          <w:rFonts w:ascii="Times New Roman" w:eastAsia="Times New Roman" w:hAnsi="Times New Roman" w:cs="Times New Roman"/>
        </w:rPr>
        <w:t>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w:t>
      </w:r>
      <w:r w:rsidRPr="000C6F06">
        <w:rPr>
          <w:rFonts w:ascii="Times New Roman" w:eastAsia="Times New Roman" w:hAnsi="Times New Roman" w:cs="Times New Roman"/>
          <w:sz w:val="20"/>
        </w:rPr>
        <w:t xml:space="preserve"> </w:t>
      </w:r>
      <w:r w:rsidRPr="000C6F06">
        <w:rPr>
          <w:rFonts w:ascii="Times New Roman" w:eastAsia="Times New Roman" w:hAnsi="Times New Roman" w:cs="Times New Roman"/>
          <w:szCs w:val="20"/>
        </w:rPr>
        <w:t xml:space="preserve">Notwithstanding anything otherwise set forth herein,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may disclose Confidential Information: a) to the extent revealed to a government agency with regulatory or oversight jurisdiction over Company; or b) in the course of fulfilling any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regulatory responsibilities, including responsibilities under the Securities Exchange Act of 1934 (Act) or other applicable law.  In either case,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shall furnish only that portion of the Confidential Information </w:t>
      </w:r>
      <w:r w:rsidRPr="000C6F06">
        <w:rPr>
          <w:rFonts w:ascii="Times New Roman" w:eastAsia="Times New Roman" w:hAnsi="Times New Roman" w:cs="Times New Roman"/>
        </w:rPr>
        <w:t xml:space="preserve">which the receiving party is legally required to disclose and shall exercise its reasonable efforts to obtain reliable assurance that confidential treatment shall be accorded the Confidential Information.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w:t>
      </w:r>
      <w:r w:rsidRPr="000C6F06">
        <w:rPr>
          <w:rFonts w:ascii="Times New Roman" w:eastAsia="Times New Roman" w:hAnsi="Times New Roman" w:cs="Times New Roman"/>
        </w:rPr>
        <w:t>Moreover, any such award of relief to the discloser of such Confidential Information shall include recovery of all actual and reasonable costs associated with enforcement of this Agreement including, without limitation, attorneys’ fees.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Effective Date of this Confidentiality Agreement shall be the date it is signed by both parties and it shall terminate upon the earlier of (i) thirty (30) days written notice of either party, or (ii) three (3) years after the effective date.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Confidentiality Agreement contains the full and complete understanding of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with respect to the subject matter and supersedes all prior representations and understandings whether they be oral or written.</w:t>
      </w:r>
    </w:p>
    <w:p w:rsidR="000C6F06" w:rsidRPr="000C6F06" w:rsidRDefault="000C6F06" w:rsidP="000C6F06">
      <w:pPr>
        <w:tabs>
          <w:tab w:val="left" w:pos="540"/>
          <w:tab w:val="left" w:pos="1080"/>
          <w:tab w:val="left" w:pos="1620"/>
          <w:tab w:val="left" w:pos="2160"/>
        </w:tabs>
        <w:spacing w:after="0" w:line="240" w:lineRule="auto"/>
        <w:rPr>
          <w:rFonts w:ascii="Times New Roman" w:eastAsia="Times New Roman" w:hAnsi="Times New Roman" w:cs="Times New Roman"/>
          <w:szCs w:val="20"/>
        </w:rPr>
      </w:pPr>
    </w:p>
    <w:p w:rsidR="000C6F06" w:rsidRPr="000C6F06" w:rsidRDefault="000C6F06" w:rsidP="000C6F06">
      <w:pPr>
        <w:numPr>
          <w:ilvl w:val="0"/>
          <w:numId w:val="5"/>
        </w:numPr>
        <w:tabs>
          <w:tab w:val="left" w:pos="540"/>
          <w:tab w:val="left" w:pos="1080"/>
          <w:tab w:val="left" w:pos="1620"/>
          <w:tab w:val="left" w:pos="2160"/>
        </w:tabs>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term, or provision held to be invalid.  This Confidentiality Agreement and performance thereunder shall be governed by the laws of the State of </w:t>
      </w:r>
      <w:r w:rsidR="007514A2">
        <w:rPr>
          <w:rFonts w:ascii="Times New Roman" w:eastAsia="Times New Roman" w:hAnsi="Times New Roman" w:cs="Times New Roman"/>
          <w:szCs w:val="20"/>
        </w:rPr>
        <w:t>New York</w:t>
      </w:r>
      <w:r w:rsidRPr="000C6F06">
        <w:rPr>
          <w:rFonts w:ascii="Times New Roman" w:eastAsia="Times New Roman" w:hAnsi="Times New Roman" w:cs="Times New Roman"/>
          <w:szCs w:val="20"/>
        </w:rPr>
        <w:t>, excluding its conflicts of laws rules.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The persons executing this Confidentiality Agreement warrant that they have the authority to bind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to the terms and conditions embodied in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rPr>
      </w:pPr>
      <w:r w:rsidRPr="000C6F06">
        <w:rPr>
          <w:rFonts w:ascii="Times New Roman" w:eastAsia="Times New Roman" w:hAnsi="Times New Roman" w:cs="Times New Roman"/>
        </w:rPr>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As used in this Confidentiality Agreement, the terms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shall include any of their respective corporate affiliates or subsidiaries, provided that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0C6F06" w:rsidRPr="000C6F06" w:rsidRDefault="000C6F06" w:rsidP="000C6F06">
      <w:pPr>
        <w:keepLines/>
        <w:tabs>
          <w:tab w:val="left" w:pos="720"/>
        </w:tab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rPr>
      </w:pPr>
      <w:r w:rsidRPr="000C6F06">
        <w:rPr>
          <w:rFonts w:ascii="Times New Roman" w:eastAsia="Times New Roman" w:hAnsi="Times New Roman" w:cs="Times New Roman"/>
        </w:rPr>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0C6F06">
        <w:rPr>
          <w:rFonts w:ascii="Times New Roman" w:eastAsia="Times New Roman" w:hAnsi="Times New Roman" w:cs="Times New Roman"/>
        </w:rPr>
        <w:br/>
      </w:r>
      <w:r w:rsidRPr="000C6F06">
        <w:rPr>
          <w:rFonts w:ascii="Times New Roman" w:eastAsia="Times New Roman" w:hAnsi="Times New Roman" w:cs="Times New Roman"/>
        </w:rPr>
        <w:br/>
      </w:r>
    </w:p>
    <w:p w:rsidR="000C6F06" w:rsidRPr="000C6F06" w:rsidRDefault="000C6F06" w:rsidP="000C6F06">
      <w:pPr>
        <w:spacing w:after="0" w:line="240" w:lineRule="auto"/>
        <w:ind w:left="720"/>
        <w:contextualSpacing/>
        <w:rPr>
          <w:rFonts w:ascii="Times New Roman" w:eastAsia="Times New Roman" w:hAnsi="Times New Roman" w:cs="Times New Roman"/>
        </w:rPr>
      </w:pPr>
    </w:p>
    <w:p w:rsidR="000C6F06" w:rsidRPr="000C6F06" w:rsidRDefault="000C6F06" w:rsidP="000C6F06">
      <w:pPr>
        <w:keepLines/>
        <w:spacing w:after="0" w:line="240" w:lineRule="auto"/>
        <w:rPr>
          <w:rFonts w:ascii="Times New Roman" w:eastAsia="Times New Roman" w:hAnsi="Times New Roman" w:cs="Times New Roman"/>
        </w:rPr>
      </w:pPr>
    </w:p>
    <w:p w:rsidR="000C6F06" w:rsidRPr="000C6F06" w:rsidRDefault="000C6F06" w:rsidP="000C6F06">
      <w:pPr>
        <w:jc w:val="center"/>
        <w:rPr>
          <w:rFonts w:ascii="Times New Roman" w:eastAsia="Times New Roman" w:hAnsi="Times New Roman" w:cs="Times New Roman"/>
          <w:szCs w:val="20"/>
        </w:rPr>
      </w:pPr>
      <w:r w:rsidRPr="000C6F06">
        <w:rPr>
          <w:rFonts w:ascii="Times New Roman" w:eastAsia="Times New Roman" w:hAnsi="Times New Roman" w:cs="Times New Roman"/>
          <w:szCs w:val="20"/>
        </w:rPr>
        <w:t>THE REMAINDER OF THIS PAGE INTENTIONALLY LEFT BLANK</w:t>
      </w: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br w:type="page"/>
      </w:r>
      <w:r w:rsidRPr="000C6F06">
        <w:rPr>
          <w:rFonts w:ascii="Times New Roman" w:eastAsia="Times New Roman" w:hAnsi="Times New Roman" w:cs="Times New Roman"/>
          <w:szCs w:val="20"/>
        </w:rPr>
        <w:lastRenderedPageBreak/>
        <w:t>Agreed and Accepted:</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b/>
          <w:szCs w:val="20"/>
        </w:rPr>
      </w:pPr>
      <w:r w:rsidRPr="000C6F06">
        <w:rPr>
          <w:rFonts w:ascii="Times New Roman" w:eastAsia="Times New Roman" w:hAnsi="Times New Roman" w:cs="Times New Roman"/>
          <w:b/>
          <w:szCs w:val="20"/>
        </w:rPr>
        <w:tab/>
      </w:r>
      <w:r w:rsidRPr="000C6F06">
        <w:rPr>
          <w:rFonts w:ascii="Times New Roman" w:eastAsia="Times New Roman" w:hAnsi="Times New Roman" w:cs="Times New Roman"/>
          <w:b/>
          <w:szCs w:val="20"/>
        </w:rPr>
        <w:tab/>
      </w:r>
      <w:r w:rsidRPr="000C6F06">
        <w:rPr>
          <w:rFonts w:ascii="Times New Roman" w:eastAsia="Times New Roman" w:hAnsi="Times New Roman" w:cs="Times New Roman"/>
          <w:i/>
          <w:szCs w:val="20"/>
        </w:rPr>
        <w:t>&lt;Full Vendor Name Here&gt;</w:t>
      </w: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38"/>
                  <w:enabled/>
                  <w:calcOnExit w:val="0"/>
                  <w:textInput/>
                </w:ffData>
              </w:fldChar>
            </w:r>
            <w:bookmarkStart w:id="1" w:name="Text38"/>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1"/>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5"/>
                  <w:enabled/>
                  <w:calcOnExit w:val="0"/>
                  <w:textInput/>
                </w:ffData>
              </w:fldChar>
            </w:r>
            <w:bookmarkStart w:id="2" w:name="Text45"/>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2"/>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bookmarkStart w:id="3" w:name="Text46"/>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3"/>
          </w:p>
        </w:tc>
      </w:tr>
    </w:tbl>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1080"/>
        <w:jc w:val="both"/>
        <w:rPr>
          <w:rFonts w:ascii="Times New Roman" w:eastAsia="Times New Roman" w:hAnsi="Times New Roman" w:cs="Times New Roman"/>
          <w:szCs w:val="20"/>
        </w:rPr>
      </w:pPr>
      <w:r w:rsidRPr="000C6F06">
        <w:rPr>
          <w:rFonts w:ascii="Times New Roman" w:eastAsia="Times New Roman" w:hAnsi="Times New Roman" w:cs="Times New Roman"/>
          <w:b/>
          <w:bCs/>
          <w:szCs w:val="20"/>
        </w:rPr>
        <w:t xml:space="preserve">State Regulatory </w:t>
      </w:r>
      <w:r w:rsidR="001E0707">
        <w:rPr>
          <w:rFonts w:ascii="Times New Roman" w:eastAsia="Times New Roman" w:hAnsi="Times New Roman" w:cs="Times New Roman"/>
          <w:b/>
          <w:bCs/>
          <w:szCs w:val="20"/>
        </w:rPr>
        <w:t>Registry</w:t>
      </w:r>
      <w:r w:rsidRPr="000C6F06">
        <w:rPr>
          <w:rFonts w:ascii="Times New Roman" w:eastAsia="Times New Roman" w:hAnsi="Times New Roman" w:cs="Times New Roman"/>
          <w:b/>
          <w:bCs/>
          <w:szCs w:val="20"/>
        </w:rPr>
        <w:t xml:space="preserve"> LLC</w:t>
      </w:r>
      <w:r w:rsidRPr="000C6F06">
        <w:rPr>
          <w:rFonts w:ascii="Times New Roman" w:eastAsia="Times New Roman" w:hAnsi="Times New Roman" w:cs="Times New Roman"/>
          <w:szCs w:val="20"/>
        </w:rPr>
        <w:t xml:space="preserve"> </w:t>
      </w: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tcPr>
          <w:p w:rsidR="000C6F06" w:rsidRPr="000C6F06" w:rsidRDefault="005A3D68" w:rsidP="000C6F06">
            <w:pPr>
              <w:keepLines/>
              <w:spacing w:before="120"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William Matthews</w:t>
            </w: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Cs w:val="20"/>
              </w:rPr>
              <w:fldChar w:fldCharType="end"/>
            </w:r>
          </w:p>
        </w:tc>
      </w:tr>
    </w:tbl>
    <w:p w:rsidR="00024EEA" w:rsidRPr="007B6D77" w:rsidRDefault="00024EEA" w:rsidP="007B6D77"/>
    <w:sectPr w:rsidR="00024EEA" w:rsidRPr="007B6D77" w:rsidSect="00024EE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95" w:rsidRDefault="00BF3095" w:rsidP="00024EEA">
      <w:pPr>
        <w:spacing w:after="0" w:line="240" w:lineRule="auto"/>
      </w:pPr>
      <w:r>
        <w:separator/>
      </w:r>
    </w:p>
  </w:endnote>
  <w:endnote w:type="continuationSeparator" w:id="0">
    <w:p w:rsidR="00BF3095" w:rsidRDefault="00BF3095" w:rsidP="000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Century"/>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95" w:rsidRDefault="00BF3095" w:rsidP="00024EEA">
      <w:pPr>
        <w:spacing w:after="0" w:line="240" w:lineRule="auto"/>
      </w:pPr>
      <w:r>
        <w:separator/>
      </w:r>
    </w:p>
  </w:footnote>
  <w:footnote w:type="continuationSeparator" w:id="0">
    <w:p w:rsidR="00BF3095" w:rsidRDefault="00BF3095" w:rsidP="0002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99719"/>
      <w:docPartObj>
        <w:docPartGallery w:val="Page Numbers (Top of Page)"/>
        <w:docPartUnique/>
      </w:docPartObj>
    </w:sdtPr>
    <w:sdtEndPr>
      <w:rPr>
        <w:noProof/>
        <w:color w:val="5C6F7C"/>
      </w:rPr>
    </w:sdtEndPr>
    <w:sdtContent>
      <w:p w:rsidR="00024EEA" w:rsidRPr="00024EEA" w:rsidRDefault="00024EEA">
        <w:pPr>
          <w:pStyle w:val="Header"/>
          <w:jc w:val="right"/>
          <w:rPr>
            <w:color w:val="5C6F7C"/>
          </w:rPr>
        </w:pPr>
        <w:r w:rsidRPr="00024EEA">
          <w:rPr>
            <w:color w:val="5C6F7C"/>
          </w:rPr>
          <w:fldChar w:fldCharType="begin"/>
        </w:r>
        <w:r w:rsidRPr="00024EEA">
          <w:rPr>
            <w:color w:val="5C6F7C"/>
          </w:rPr>
          <w:instrText xml:space="preserve"> PAGE   \* MERGEFORMAT </w:instrText>
        </w:r>
        <w:r w:rsidRPr="00024EEA">
          <w:rPr>
            <w:color w:val="5C6F7C"/>
          </w:rPr>
          <w:fldChar w:fldCharType="separate"/>
        </w:r>
        <w:r w:rsidR="0080473A">
          <w:rPr>
            <w:noProof/>
            <w:color w:val="5C6F7C"/>
          </w:rPr>
          <w:t>3</w:t>
        </w:r>
        <w:r w:rsidRPr="00024EEA">
          <w:rPr>
            <w:noProof/>
            <w:color w:val="5C6F7C"/>
          </w:rPr>
          <w:fldChar w:fldCharType="end"/>
        </w:r>
      </w:p>
    </w:sdtContent>
  </w:sdt>
  <w:p w:rsidR="00024EEA" w:rsidRPr="00024EEA" w:rsidRDefault="00024EEA" w:rsidP="0002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Default="00CF70D2">
    <w:pPr>
      <w:pStyle w:val="Header"/>
    </w:pPr>
    <w:r>
      <w:rPr>
        <w:noProof/>
      </w:rPr>
      <w:drawing>
        <wp:inline distT="0" distB="0" distL="0" distR="0">
          <wp:extent cx="3305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inline>
      </w:drawing>
    </w:r>
  </w:p>
  <w:p w:rsidR="00024EEA" w:rsidRDefault="0002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91C69"/>
    <w:multiLevelType w:val="hybridMultilevel"/>
    <w:tmpl w:val="5EA8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436B"/>
    <w:multiLevelType w:val="hybridMultilevel"/>
    <w:tmpl w:val="2B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1C11A0"/>
    <w:multiLevelType w:val="hybridMultilevel"/>
    <w:tmpl w:val="55E6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C5163"/>
    <w:multiLevelType w:val="hybridMultilevel"/>
    <w:tmpl w:val="0F54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EA"/>
    <w:rsid w:val="00006E48"/>
    <w:rsid w:val="00021DF5"/>
    <w:rsid w:val="00024EEA"/>
    <w:rsid w:val="000565FA"/>
    <w:rsid w:val="000A1DCC"/>
    <w:rsid w:val="000A6221"/>
    <w:rsid w:val="000A630B"/>
    <w:rsid w:val="000C05C0"/>
    <w:rsid w:val="000C582B"/>
    <w:rsid w:val="000C6F06"/>
    <w:rsid w:val="000E58E1"/>
    <w:rsid w:val="00101090"/>
    <w:rsid w:val="00111890"/>
    <w:rsid w:val="0015113F"/>
    <w:rsid w:val="0016757A"/>
    <w:rsid w:val="001D02A0"/>
    <w:rsid w:val="001E0707"/>
    <w:rsid w:val="00220D7E"/>
    <w:rsid w:val="00221CFC"/>
    <w:rsid w:val="00224AB4"/>
    <w:rsid w:val="00233D98"/>
    <w:rsid w:val="00242EBF"/>
    <w:rsid w:val="0026261C"/>
    <w:rsid w:val="0027303A"/>
    <w:rsid w:val="00275889"/>
    <w:rsid w:val="00286DF3"/>
    <w:rsid w:val="002B35D7"/>
    <w:rsid w:val="002B40F4"/>
    <w:rsid w:val="002D3729"/>
    <w:rsid w:val="002E38E0"/>
    <w:rsid w:val="00322721"/>
    <w:rsid w:val="00334B0B"/>
    <w:rsid w:val="00366F17"/>
    <w:rsid w:val="0037726A"/>
    <w:rsid w:val="00391376"/>
    <w:rsid w:val="003940E2"/>
    <w:rsid w:val="003B61CA"/>
    <w:rsid w:val="003C13DC"/>
    <w:rsid w:val="003F22C9"/>
    <w:rsid w:val="004720D6"/>
    <w:rsid w:val="00491BDB"/>
    <w:rsid w:val="004F1D6E"/>
    <w:rsid w:val="00501BD8"/>
    <w:rsid w:val="00503934"/>
    <w:rsid w:val="0052110C"/>
    <w:rsid w:val="00592B74"/>
    <w:rsid w:val="005A3D68"/>
    <w:rsid w:val="005A6F0A"/>
    <w:rsid w:val="005B6B82"/>
    <w:rsid w:val="005F4E4B"/>
    <w:rsid w:val="006040BA"/>
    <w:rsid w:val="00611961"/>
    <w:rsid w:val="006165CC"/>
    <w:rsid w:val="00651FB3"/>
    <w:rsid w:val="00677138"/>
    <w:rsid w:val="006A7F6C"/>
    <w:rsid w:val="006C1FD6"/>
    <w:rsid w:val="006C4DEB"/>
    <w:rsid w:val="006C7A6E"/>
    <w:rsid w:val="006D14AE"/>
    <w:rsid w:val="006D5D44"/>
    <w:rsid w:val="006E0E59"/>
    <w:rsid w:val="006F0EC0"/>
    <w:rsid w:val="00723557"/>
    <w:rsid w:val="00726C0F"/>
    <w:rsid w:val="00731A45"/>
    <w:rsid w:val="007372BE"/>
    <w:rsid w:val="00746249"/>
    <w:rsid w:val="00747912"/>
    <w:rsid w:val="007514A2"/>
    <w:rsid w:val="00752884"/>
    <w:rsid w:val="007B6D77"/>
    <w:rsid w:val="007F5F37"/>
    <w:rsid w:val="007F6CDF"/>
    <w:rsid w:val="0080473A"/>
    <w:rsid w:val="00824A9F"/>
    <w:rsid w:val="008745EB"/>
    <w:rsid w:val="008D21F6"/>
    <w:rsid w:val="008E16E8"/>
    <w:rsid w:val="008E52E3"/>
    <w:rsid w:val="008F51A0"/>
    <w:rsid w:val="00906986"/>
    <w:rsid w:val="00917662"/>
    <w:rsid w:val="0092222F"/>
    <w:rsid w:val="00937DC3"/>
    <w:rsid w:val="0094402E"/>
    <w:rsid w:val="009609CC"/>
    <w:rsid w:val="00990395"/>
    <w:rsid w:val="0099390D"/>
    <w:rsid w:val="009955EB"/>
    <w:rsid w:val="009A20EB"/>
    <w:rsid w:val="009C58B0"/>
    <w:rsid w:val="009C60D2"/>
    <w:rsid w:val="009C7282"/>
    <w:rsid w:val="009D423E"/>
    <w:rsid w:val="009E2BD3"/>
    <w:rsid w:val="009E6593"/>
    <w:rsid w:val="009F75F6"/>
    <w:rsid w:val="00A068AF"/>
    <w:rsid w:val="00A109CE"/>
    <w:rsid w:val="00A16BEF"/>
    <w:rsid w:val="00A21139"/>
    <w:rsid w:val="00A26C9E"/>
    <w:rsid w:val="00A71468"/>
    <w:rsid w:val="00A815C4"/>
    <w:rsid w:val="00AA0E3D"/>
    <w:rsid w:val="00AB331E"/>
    <w:rsid w:val="00AB5553"/>
    <w:rsid w:val="00AE245A"/>
    <w:rsid w:val="00AE563E"/>
    <w:rsid w:val="00B024FB"/>
    <w:rsid w:val="00B22FF0"/>
    <w:rsid w:val="00B33490"/>
    <w:rsid w:val="00B36B02"/>
    <w:rsid w:val="00B436D1"/>
    <w:rsid w:val="00B50DEB"/>
    <w:rsid w:val="00B57289"/>
    <w:rsid w:val="00BD6D5E"/>
    <w:rsid w:val="00BE55E5"/>
    <w:rsid w:val="00BF3095"/>
    <w:rsid w:val="00C003DB"/>
    <w:rsid w:val="00C02BFA"/>
    <w:rsid w:val="00C2352F"/>
    <w:rsid w:val="00C339F5"/>
    <w:rsid w:val="00C673FB"/>
    <w:rsid w:val="00C7387B"/>
    <w:rsid w:val="00C83563"/>
    <w:rsid w:val="00C94713"/>
    <w:rsid w:val="00C95A85"/>
    <w:rsid w:val="00CA7081"/>
    <w:rsid w:val="00CC24CE"/>
    <w:rsid w:val="00CF70D2"/>
    <w:rsid w:val="00D0756D"/>
    <w:rsid w:val="00D24D3B"/>
    <w:rsid w:val="00D35814"/>
    <w:rsid w:val="00D501B6"/>
    <w:rsid w:val="00D51828"/>
    <w:rsid w:val="00D67D85"/>
    <w:rsid w:val="00D81DA6"/>
    <w:rsid w:val="00D85136"/>
    <w:rsid w:val="00DA3F03"/>
    <w:rsid w:val="00DA6784"/>
    <w:rsid w:val="00DB2A08"/>
    <w:rsid w:val="00DD0D9D"/>
    <w:rsid w:val="00DD19E6"/>
    <w:rsid w:val="00E20E84"/>
    <w:rsid w:val="00E55ACB"/>
    <w:rsid w:val="00E732E1"/>
    <w:rsid w:val="00E856D2"/>
    <w:rsid w:val="00E90BEF"/>
    <w:rsid w:val="00EB18DF"/>
    <w:rsid w:val="00EC130B"/>
    <w:rsid w:val="00EC523F"/>
    <w:rsid w:val="00EC78E8"/>
    <w:rsid w:val="00EF10D5"/>
    <w:rsid w:val="00F321A6"/>
    <w:rsid w:val="00F419B7"/>
    <w:rsid w:val="00F502E9"/>
    <w:rsid w:val="00F65DBD"/>
    <w:rsid w:val="00F77640"/>
    <w:rsid w:val="00F816E6"/>
    <w:rsid w:val="00FB39B0"/>
    <w:rsid w:val="00FC2337"/>
    <w:rsid w:val="00FD6364"/>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94644-5FEA-46F4-A624-C3275B32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paragraph" w:customStyle="1" w:styleId="Default">
    <w:name w:val="Default"/>
    <w:rsid w:val="00CF70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70D2"/>
    <w:pPr>
      <w:ind w:left="720"/>
      <w:contextualSpacing/>
    </w:pPr>
  </w:style>
  <w:style w:type="character" w:styleId="Hyperlink">
    <w:name w:val="Hyperlink"/>
    <w:basedOn w:val="DefaultParagraphFont"/>
    <w:uiPriority w:val="99"/>
    <w:unhideWhenUsed/>
    <w:rsid w:val="00CF70D2"/>
    <w:rPr>
      <w:color w:val="0000FF" w:themeColor="hyperlink"/>
      <w:u w:val="single"/>
    </w:rPr>
  </w:style>
  <w:style w:type="table" w:styleId="TableGrid">
    <w:name w:val="Table Grid"/>
    <w:basedOn w:val="TableNormal"/>
    <w:uiPriority w:val="59"/>
    <w:rsid w:val="00C7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5" ma:contentTypeDescription="" ma:contentTypeScope="" ma:versionID="f73ebac9603b5f9a1f62cb12f3fd5804">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1799199472bef0abf435e730e8d4636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1E182-8342-47A1-8225-ECAF1658AE5C}"/>
</file>

<file path=customXml/itemProps2.xml><?xml version="1.0" encoding="utf-8"?>
<ds:datastoreItem xmlns:ds="http://schemas.openxmlformats.org/officeDocument/2006/customXml" ds:itemID="{4AEC75DF-AB76-47B7-87F8-07A1156BF99F}"/>
</file>

<file path=customXml/itemProps3.xml><?xml version="1.0" encoding="utf-8"?>
<ds:datastoreItem xmlns:ds="http://schemas.openxmlformats.org/officeDocument/2006/customXml" ds:itemID="{DB723DA4-847C-4B9A-8A11-4806707C70D5}"/>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 Mutual NDA NMLS Modernization</dc:title>
  <dc:creator>Catherine Woody</dc:creator>
  <cp:lastModifiedBy>Galen Midford</cp:lastModifiedBy>
  <cp:revision>2</cp:revision>
  <dcterms:created xsi:type="dcterms:W3CDTF">2015-08-27T21:09:00Z</dcterms:created>
  <dcterms:modified xsi:type="dcterms:W3CDTF">2015-08-27T21:09:00Z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