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C" w:rsidRPr="00740550" w:rsidRDefault="00850BAD" w:rsidP="00850BAD">
      <w:pPr>
        <w:pStyle w:val="Heading1"/>
        <w:spacing w:before="240" w:after="240"/>
        <w:rPr>
          <w:rFonts w:ascii="Calibri" w:hAnsi="Calibri" w:cs="Calibri"/>
          <w:color w:val="FF0000"/>
          <w:sz w:val="32"/>
          <w:szCs w:val="32"/>
        </w:rPr>
      </w:pPr>
      <w:r w:rsidRPr="00740550">
        <w:rPr>
          <w:rFonts w:ascii="Calibri" w:hAnsi="Calibri" w:cs="Calibri"/>
          <w:color w:val="5B9BD5"/>
          <w:sz w:val="32"/>
          <w:szCs w:val="32"/>
        </w:rPr>
        <w:t>North Carolina Office of the Commissioner of Banks       E</w:t>
      </w:r>
      <w:r w:rsidR="004D06C2" w:rsidRPr="00740550">
        <w:rPr>
          <w:rFonts w:ascii="Calibri" w:hAnsi="Calibri" w:cs="Calibri"/>
          <w:color w:val="5B9BD5"/>
          <w:sz w:val="32"/>
          <w:szCs w:val="32"/>
        </w:rPr>
        <w:t xml:space="preserve">lectronic Surety Bond </w:t>
      </w:r>
      <w:r w:rsidR="00A67A9F" w:rsidRPr="00740550">
        <w:rPr>
          <w:rFonts w:ascii="Calibri" w:hAnsi="Calibri" w:cs="Calibri"/>
          <w:color w:val="5B9BD5"/>
          <w:sz w:val="32"/>
          <w:szCs w:val="32"/>
        </w:rPr>
        <w:t>Conversion</w:t>
      </w:r>
      <w:r w:rsidR="00F378C5" w:rsidRPr="00740550">
        <w:rPr>
          <w:rFonts w:ascii="Calibri" w:hAnsi="Calibri" w:cs="Calibri"/>
          <w:color w:val="5B9BD5"/>
          <w:sz w:val="32"/>
          <w:szCs w:val="32"/>
        </w:rPr>
        <w:t xml:space="preserve"> Plan</w:t>
      </w:r>
    </w:p>
    <w:p w:rsidR="00D57834" w:rsidRPr="00740550" w:rsidRDefault="00D57834" w:rsidP="00850BAD">
      <w:pPr>
        <w:pStyle w:val="NormalWeb"/>
        <w:spacing w:before="240" w:after="240"/>
        <w:rPr>
          <w:rFonts w:ascii="Calibri" w:hAnsi="Calibri" w:cs="Calibri"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Who is </w:t>
      </w:r>
      <w:proofErr w:type="gramStart"/>
      <w:r w:rsidRPr="00740550">
        <w:rPr>
          <w:rFonts w:ascii="Calibri" w:hAnsi="Calibri" w:cs="Calibri"/>
          <w:b/>
          <w:color w:val="4F81BD"/>
          <w:sz w:val="24"/>
          <w:szCs w:val="22"/>
        </w:rPr>
        <w:t>required</w:t>
      </w:r>
      <w:proofErr w:type="gramEnd"/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 to </w:t>
      </w:r>
      <w:r w:rsidR="00A67A9F" w:rsidRPr="00740550">
        <w:rPr>
          <w:rFonts w:ascii="Calibri" w:hAnsi="Calibri" w:cs="Calibri"/>
          <w:b/>
          <w:color w:val="4F81BD"/>
          <w:sz w:val="24"/>
          <w:szCs w:val="22"/>
        </w:rPr>
        <w:t>conver</w:t>
      </w:r>
      <w:r w:rsidR="00553FE6" w:rsidRPr="00740550">
        <w:rPr>
          <w:rFonts w:ascii="Calibri" w:hAnsi="Calibri" w:cs="Calibri"/>
          <w:b/>
          <w:color w:val="4F81BD"/>
          <w:sz w:val="24"/>
          <w:szCs w:val="22"/>
        </w:rPr>
        <w:t>t</w:t>
      </w: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 their surety bond to NMLS?</w:t>
      </w:r>
    </w:p>
    <w:p w:rsidR="00F378C5" w:rsidRPr="00740550" w:rsidRDefault="004C5D42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sz w:val="22"/>
          <w:szCs w:val="22"/>
        </w:rPr>
        <w:t xml:space="preserve">Electronic </w:t>
      </w:r>
      <w:r w:rsidR="00F5090E" w:rsidRPr="00740550">
        <w:rPr>
          <w:rFonts w:ascii="Calibri" w:hAnsi="Calibri" w:cs="Calibri"/>
          <w:sz w:val="22"/>
          <w:szCs w:val="22"/>
        </w:rPr>
        <w:t>surety</w:t>
      </w:r>
      <w:r w:rsidRPr="00740550">
        <w:rPr>
          <w:rFonts w:ascii="Calibri" w:hAnsi="Calibri" w:cs="Calibri"/>
          <w:sz w:val="22"/>
          <w:szCs w:val="22"/>
        </w:rPr>
        <w:t xml:space="preserve"> bonds (ESB) for </w:t>
      </w:r>
      <w:r w:rsidR="00866015" w:rsidRPr="00740550">
        <w:rPr>
          <w:rFonts w:ascii="Calibri" w:hAnsi="Calibri" w:cs="Calibri"/>
          <w:sz w:val="22"/>
          <w:szCs w:val="22"/>
        </w:rPr>
        <w:t>the license/registration types w</w:t>
      </w:r>
      <w:r w:rsidRPr="00740550">
        <w:rPr>
          <w:rFonts w:ascii="Calibri" w:hAnsi="Calibri" w:cs="Calibri"/>
          <w:sz w:val="22"/>
          <w:szCs w:val="22"/>
        </w:rPr>
        <w:t xml:space="preserve">ill be available in NMLS </w:t>
      </w:r>
      <w:r w:rsidR="000B1FB7" w:rsidRPr="00740550">
        <w:rPr>
          <w:rFonts w:ascii="Calibri" w:hAnsi="Calibri" w:cs="Calibri"/>
          <w:sz w:val="22"/>
          <w:szCs w:val="22"/>
        </w:rPr>
        <w:t xml:space="preserve">starting </w:t>
      </w:r>
      <w:r w:rsidR="00604208">
        <w:rPr>
          <w:rFonts w:ascii="Calibri" w:hAnsi="Calibri" w:cs="Calibri"/>
          <w:b/>
          <w:color w:val="auto"/>
          <w:sz w:val="22"/>
          <w:szCs w:val="22"/>
        </w:rPr>
        <w:t>June 1, 2018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.</w:t>
      </w:r>
      <w:r w:rsidRPr="00740550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proofErr w:type="gramEnd"/>
      <w:r w:rsidR="00F378C5" w:rsidRPr="00740550">
        <w:rPr>
          <w:rFonts w:ascii="Calibri" w:hAnsi="Calibri" w:cs="Calibri"/>
          <w:color w:val="auto"/>
          <w:sz w:val="22"/>
          <w:szCs w:val="22"/>
        </w:rPr>
        <w:t>Companies holding a</w:t>
      </w:r>
      <w:r w:rsidR="001E0B3A" w:rsidRPr="00740550">
        <w:rPr>
          <w:rFonts w:ascii="Calibri" w:hAnsi="Calibri" w:cs="Calibri"/>
          <w:color w:val="auto"/>
          <w:sz w:val="22"/>
          <w:szCs w:val="22"/>
        </w:rPr>
        <w:t>ny of the</w:t>
      </w:r>
      <w:r w:rsidR="00866015" w:rsidRPr="00740550">
        <w:rPr>
          <w:rFonts w:ascii="Calibri" w:hAnsi="Calibri" w:cs="Calibri"/>
          <w:color w:val="auto"/>
          <w:sz w:val="22"/>
          <w:szCs w:val="22"/>
        </w:rPr>
        <w:t>se</w:t>
      </w:r>
      <w:r w:rsidR="001E0B3A" w:rsidRPr="00740550">
        <w:rPr>
          <w:rFonts w:ascii="Calibri" w:hAnsi="Calibri" w:cs="Calibri"/>
          <w:color w:val="auto"/>
          <w:sz w:val="22"/>
          <w:szCs w:val="22"/>
        </w:rPr>
        <w:t xml:space="preserve"> licens</w:t>
      </w:r>
      <w:r w:rsidR="009B756C" w:rsidRPr="00740550">
        <w:rPr>
          <w:rFonts w:ascii="Calibri" w:hAnsi="Calibri" w:cs="Calibri"/>
          <w:color w:val="auto"/>
          <w:sz w:val="22"/>
          <w:szCs w:val="22"/>
        </w:rPr>
        <w:t>e</w:t>
      </w:r>
      <w:r w:rsidR="006518C8" w:rsidRPr="00740550">
        <w:rPr>
          <w:rFonts w:ascii="Calibri" w:hAnsi="Calibri" w:cs="Calibri"/>
          <w:color w:val="auto"/>
          <w:sz w:val="22"/>
          <w:szCs w:val="22"/>
        </w:rPr>
        <w:t>/registration</w:t>
      </w:r>
      <w:r w:rsidR="001E0B3A" w:rsidRPr="00740550">
        <w:rPr>
          <w:rFonts w:ascii="Calibri" w:hAnsi="Calibri" w:cs="Calibri"/>
          <w:color w:val="auto"/>
          <w:sz w:val="22"/>
          <w:szCs w:val="22"/>
        </w:rPr>
        <w:t xml:space="preserve"> types</w:t>
      </w:r>
      <w:r w:rsidR="00866015" w:rsidRPr="0074055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4635" w:rsidRPr="00740550">
        <w:rPr>
          <w:rFonts w:ascii="Calibri" w:hAnsi="Calibri" w:cs="Calibri"/>
          <w:color w:val="auto"/>
          <w:sz w:val="22"/>
          <w:szCs w:val="22"/>
        </w:rPr>
        <w:t xml:space="preserve">are </w:t>
      </w:r>
      <w:proofErr w:type="gramStart"/>
      <w:r w:rsidR="00194635" w:rsidRPr="00740550">
        <w:rPr>
          <w:rFonts w:ascii="Calibri" w:hAnsi="Calibri" w:cs="Calibri"/>
          <w:i/>
          <w:color w:val="auto"/>
          <w:sz w:val="22"/>
          <w:szCs w:val="22"/>
        </w:rPr>
        <w:t>required</w:t>
      </w:r>
      <w:proofErr w:type="gramEnd"/>
      <w:r w:rsidR="00194635" w:rsidRPr="00740550">
        <w:rPr>
          <w:rFonts w:ascii="Calibri" w:hAnsi="Calibri" w:cs="Calibri"/>
          <w:color w:val="auto"/>
          <w:sz w:val="22"/>
          <w:szCs w:val="22"/>
        </w:rPr>
        <w:t xml:space="preserve"> to </w:t>
      </w:r>
      <w:r w:rsidR="00A67A9F" w:rsidRPr="00740550">
        <w:rPr>
          <w:rFonts w:ascii="Calibri" w:hAnsi="Calibri" w:cs="Calibri"/>
          <w:color w:val="auto"/>
          <w:sz w:val="22"/>
          <w:szCs w:val="22"/>
        </w:rPr>
        <w:t>conver</w:t>
      </w:r>
      <w:r w:rsidR="00553FE6" w:rsidRPr="00740550">
        <w:rPr>
          <w:rFonts w:ascii="Calibri" w:hAnsi="Calibri" w:cs="Calibri"/>
          <w:color w:val="auto"/>
          <w:sz w:val="22"/>
          <w:szCs w:val="22"/>
        </w:rPr>
        <w:t>t</w:t>
      </w:r>
      <w:r w:rsidR="004D06C2" w:rsidRPr="00740550">
        <w:rPr>
          <w:rFonts w:ascii="Calibri" w:hAnsi="Calibri" w:cs="Calibri"/>
          <w:color w:val="auto"/>
          <w:sz w:val="22"/>
          <w:szCs w:val="22"/>
        </w:rPr>
        <w:t xml:space="preserve"> their </w:t>
      </w:r>
      <w:r w:rsidR="009B756C" w:rsidRPr="00740550">
        <w:rPr>
          <w:rFonts w:ascii="Calibri" w:hAnsi="Calibri" w:cs="Calibri"/>
          <w:color w:val="auto"/>
          <w:sz w:val="22"/>
          <w:szCs w:val="22"/>
        </w:rPr>
        <w:t>existing</w:t>
      </w:r>
      <w:r w:rsidR="004D06C2" w:rsidRPr="00740550">
        <w:rPr>
          <w:rFonts w:ascii="Calibri" w:hAnsi="Calibri" w:cs="Calibri"/>
          <w:color w:val="auto"/>
          <w:sz w:val="22"/>
          <w:szCs w:val="22"/>
        </w:rPr>
        <w:t xml:space="preserve"> surety bond to NMLS </w:t>
      </w:r>
      <w:r w:rsidR="003579C4" w:rsidRPr="00740550">
        <w:rPr>
          <w:rFonts w:ascii="Calibri" w:hAnsi="Calibri" w:cs="Calibri"/>
          <w:color w:val="auto"/>
          <w:sz w:val="22"/>
          <w:szCs w:val="22"/>
        </w:rPr>
        <w:t xml:space="preserve">via the submission of an </w:t>
      </w:r>
      <w:r w:rsidR="00F5090E" w:rsidRPr="00740550">
        <w:rPr>
          <w:rFonts w:ascii="Calibri" w:hAnsi="Calibri" w:cs="Calibri"/>
          <w:color w:val="auto"/>
          <w:sz w:val="22"/>
          <w:szCs w:val="22"/>
        </w:rPr>
        <w:t>ESB</w:t>
      </w:r>
      <w:r w:rsidR="003579C4" w:rsidRPr="00740550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94635" w:rsidRPr="00740550">
        <w:rPr>
          <w:rFonts w:ascii="Calibri" w:hAnsi="Calibri" w:cs="Calibri"/>
          <w:color w:val="auto"/>
          <w:sz w:val="22"/>
          <w:szCs w:val="22"/>
        </w:rPr>
        <w:t xml:space="preserve">by </w:t>
      </w:r>
      <w:r w:rsidR="00A443F8" w:rsidRPr="00740550">
        <w:rPr>
          <w:rFonts w:ascii="Calibri" w:hAnsi="Calibri" w:cs="Calibri"/>
          <w:b/>
          <w:color w:val="auto"/>
          <w:sz w:val="22"/>
          <w:szCs w:val="22"/>
        </w:rPr>
        <w:t>December 31, 201</w:t>
      </w:r>
      <w:r w:rsidR="00604208">
        <w:rPr>
          <w:rFonts w:ascii="Calibri" w:hAnsi="Calibri" w:cs="Calibri"/>
          <w:b/>
          <w:color w:val="auto"/>
          <w:sz w:val="22"/>
          <w:szCs w:val="22"/>
        </w:rPr>
        <w:t>8</w:t>
      </w:r>
      <w:r w:rsidR="00B041D2" w:rsidRPr="00740550">
        <w:rPr>
          <w:rFonts w:ascii="Calibri" w:hAnsi="Calibri" w:cs="Calibri"/>
          <w:color w:val="auto"/>
          <w:sz w:val="22"/>
          <w:szCs w:val="22"/>
        </w:rPr>
        <w:t>.</w:t>
      </w:r>
    </w:p>
    <w:p w:rsidR="00D57834" w:rsidRPr="00CA7920" w:rsidRDefault="00CA7920" w:rsidP="00CA7920">
      <w:pPr>
        <w:pStyle w:val="NormalWeb"/>
        <w:numPr>
          <w:ilvl w:val="0"/>
          <w:numId w:val="2"/>
        </w:numPr>
        <w:ind w:left="1080"/>
        <w:rPr>
          <w:rFonts w:ascii="Calibri" w:hAnsi="Calibri" w:cs="Calibri"/>
          <w:b/>
          <w:color w:val="auto"/>
          <w:sz w:val="22"/>
          <w:szCs w:val="22"/>
        </w:rPr>
      </w:pPr>
      <w:r w:rsidRPr="00F17BDE">
        <w:rPr>
          <w:rFonts w:ascii="Calibri" w:hAnsi="Calibri" w:cs="Calibri"/>
          <w:color w:val="auto"/>
          <w:sz w:val="22"/>
          <w:szCs w:val="22"/>
        </w:rPr>
        <w:t>Mortgage Lender</w:t>
      </w:r>
      <w:r w:rsidR="004121E6">
        <w:rPr>
          <w:rFonts w:ascii="Calibri" w:hAnsi="Calibri" w:cs="Calibri"/>
          <w:b/>
          <w:color w:val="auto"/>
          <w:sz w:val="22"/>
          <w:szCs w:val="22"/>
        </w:rPr>
        <w:t xml:space="preserve"> (excluding the separate bond </w:t>
      </w:r>
      <w:proofErr w:type="gramStart"/>
      <w:r w:rsidR="00F17BDE">
        <w:rPr>
          <w:rFonts w:ascii="Calibri" w:hAnsi="Calibri" w:cs="Calibri"/>
          <w:b/>
          <w:color w:val="auto"/>
          <w:sz w:val="22"/>
          <w:szCs w:val="22"/>
        </w:rPr>
        <w:t>required</w:t>
      </w:r>
      <w:proofErr w:type="gramEnd"/>
      <w:r w:rsidR="00F17B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121E6">
        <w:rPr>
          <w:rFonts w:ascii="Calibri" w:hAnsi="Calibri" w:cs="Calibri"/>
          <w:b/>
          <w:color w:val="auto"/>
          <w:sz w:val="22"/>
          <w:szCs w:val="22"/>
        </w:rPr>
        <w:t>for reverse mortgage lenders)</w:t>
      </w:r>
    </w:p>
    <w:p w:rsidR="00CA7920" w:rsidRPr="00F17BDE" w:rsidRDefault="00CA7920" w:rsidP="00CA7920">
      <w:pPr>
        <w:pStyle w:val="NormalWeb"/>
        <w:numPr>
          <w:ilvl w:val="0"/>
          <w:numId w:val="2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F17BDE">
        <w:rPr>
          <w:rFonts w:ascii="Calibri" w:hAnsi="Calibri" w:cs="Calibri"/>
          <w:color w:val="auto"/>
          <w:sz w:val="22"/>
          <w:szCs w:val="22"/>
        </w:rPr>
        <w:t>Mortgage Broker</w:t>
      </w:r>
    </w:p>
    <w:p w:rsidR="00CA7920" w:rsidRPr="00F17BDE" w:rsidRDefault="00CA7920" w:rsidP="00CA7920">
      <w:pPr>
        <w:pStyle w:val="NormalWeb"/>
        <w:numPr>
          <w:ilvl w:val="0"/>
          <w:numId w:val="2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F17BDE">
        <w:rPr>
          <w:rFonts w:ascii="Calibri" w:hAnsi="Calibri" w:cs="Calibri"/>
          <w:color w:val="auto"/>
          <w:sz w:val="22"/>
          <w:szCs w:val="22"/>
        </w:rPr>
        <w:t>Mortgage Servicer</w:t>
      </w:r>
    </w:p>
    <w:p w:rsidR="000B1FB7" w:rsidRPr="00740550" w:rsidRDefault="000B1FB7" w:rsidP="00850BAD">
      <w:pPr>
        <w:pStyle w:val="NormalWeb"/>
        <w:spacing w:before="240" w:after="240"/>
        <w:rPr>
          <w:rFonts w:ascii="Calibri" w:hAnsi="Calibri" w:cs="Calibri"/>
          <w:i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Has the agency surety bond form changed? </w:t>
      </w:r>
    </w:p>
    <w:p w:rsidR="000B1FB7" w:rsidRPr="00740550" w:rsidRDefault="00A443F8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The agency’s surety bond form has 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been changed</w:t>
      </w:r>
      <w:proofErr w:type="gramEnd"/>
      <w:r w:rsidRPr="00740550">
        <w:rPr>
          <w:rFonts w:ascii="Calibri" w:hAnsi="Calibri" w:cs="Calibri"/>
          <w:color w:val="auto"/>
          <w:sz w:val="22"/>
          <w:szCs w:val="22"/>
        </w:rPr>
        <w:t xml:space="preserve"> minimally to allow for use through NMLS.</w:t>
      </w:r>
    </w:p>
    <w:p w:rsidR="000B1FB7" w:rsidRPr="00740550" w:rsidRDefault="000B1FB7" w:rsidP="00850BAD">
      <w:pPr>
        <w:pStyle w:val="NormalWeb"/>
        <w:spacing w:before="240" w:after="240"/>
        <w:rPr>
          <w:rFonts w:ascii="Calibri" w:hAnsi="Calibri" w:cs="Calibri"/>
          <w:i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Will this affect license renewal? </w:t>
      </w:r>
    </w:p>
    <w:p w:rsidR="00850BAD" w:rsidRPr="00740550" w:rsidRDefault="00A443F8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Converting to </w:t>
      </w:r>
      <w:r w:rsidR="003911F6" w:rsidRPr="00740550">
        <w:rPr>
          <w:rFonts w:ascii="Calibri" w:hAnsi="Calibri" w:cs="Calibri"/>
          <w:color w:val="auto"/>
          <w:sz w:val="22"/>
          <w:szCs w:val="22"/>
        </w:rPr>
        <w:t xml:space="preserve">an </w:t>
      </w:r>
      <w:r w:rsidRPr="00740550">
        <w:rPr>
          <w:rFonts w:ascii="Calibri" w:hAnsi="Calibri" w:cs="Calibri"/>
          <w:color w:val="auto"/>
          <w:sz w:val="22"/>
          <w:szCs w:val="22"/>
        </w:rPr>
        <w:t xml:space="preserve">ESB </w:t>
      </w:r>
      <w:r w:rsidR="00604208">
        <w:rPr>
          <w:rFonts w:ascii="Calibri" w:hAnsi="Calibri" w:cs="Calibri"/>
          <w:color w:val="auto"/>
          <w:sz w:val="22"/>
          <w:szCs w:val="22"/>
        </w:rPr>
        <w:t xml:space="preserve">is </w:t>
      </w:r>
      <w:proofErr w:type="gramStart"/>
      <w:r w:rsidR="00604208">
        <w:rPr>
          <w:rFonts w:ascii="Calibri" w:hAnsi="Calibri" w:cs="Calibri"/>
          <w:color w:val="auto"/>
          <w:sz w:val="22"/>
          <w:szCs w:val="22"/>
        </w:rPr>
        <w:t>required</w:t>
      </w:r>
      <w:proofErr w:type="gramEnd"/>
      <w:r w:rsidR="00604208">
        <w:rPr>
          <w:rFonts w:ascii="Calibri" w:hAnsi="Calibri" w:cs="Calibri"/>
          <w:color w:val="auto"/>
          <w:sz w:val="22"/>
          <w:szCs w:val="22"/>
        </w:rPr>
        <w:t xml:space="preserve"> before your license will be renewed.</w:t>
      </w:r>
      <w:r w:rsidR="00DC50FE" w:rsidRPr="00740550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0B1FB7" w:rsidRPr="00740550" w:rsidRDefault="00E67053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The surety bond </w:t>
      </w:r>
      <w:r w:rsidR="00CA7920">
        <w:rPr>
          <w:rFonts w:ascii="Calibri" w:hAnsi="Calibri" w:cs="Calibri"/>
          <w:color w:val="auto"/>
          <w:sz w:val="22"/>
          <w:szCs w:val="22"/>
        </w:rPr>
        <w:t xml:space="preserve">requirements </w:t>
      </w:r>
      <w:proofErr w:type="gramStart"/>
      <w:r w:rsidR="00CA7920">
        <w:rPr>
          <w:rFonts w:ascii="Calibri" w:hAnsi="Calibri" w:cs="Calibri"/>
          <w:color w:val="auto"/>
          <w:sz w:val="22"/>
          <w:szCs w:val="22"/>
        </w:rPr>
        <w:t>remain</w:t>
      </w:r>
      <w:proofErr w:type="gramEnd"/>
      <w:r w:rsidR="00CA7920">
        <w:rPr>
          <w:rFonts w:ascii="Calibri" w:hAnsi="Calibri" w:cs="Calibri"/>
          <w:color w:val="auto"/>
          <w:sz w:val="22"/>
          <w:szCs w:val="22"/>
        </w:rPr>
        <w:t xml:space="preserve"> the same </w:t>
      </w:r>
      <w:r w:rsidRPr="00740550">
        <w:rPr>
          <w:rFonts w:ascii="Calibri" w:hAnsi="Calibri" w:cs="Calibri"/>
          <w:color w:val="auto"/>
          <w:sz w:val="22"/>
          <w:szCs w:val="22"/>
        </w:rPr>
        <w:t>and increases based upon the following tiered schedule: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3240"/>
        <w:gridCol w:w="2832"/>
      </w:tblGrid>
      <w:tr w:rsidR="00CA7920" w:rsidRPr="00740550" w:rsidTr="004121E6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b/>
                <w:color w:val="auto"/>
                <w:sz w:val="22"/>
                <w:szCs w:val="22"/>
                <w:u w:val="single"/>
              </w:rPr>
              <w:t>Volume at December 31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7920" w:rsidRPr="00CA792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b/>
                <w:color w:val="4472C4" w:themeColor="accent1"/>
                <w:sz w:val="22"/>
                <w:szCs w:val="22"/>
              </w:rPr>
            </w:pPr>
            <w:r w:rsidRPr="00CA7920">
              <w:rPr>
                <w:rFonts w:ascii="Calibri" w:hAnsi="Calibri" w:cs="Calibri"/>
                <w:b/>
                <w:color w:val="4472C4" w:themeColor="accent1"/>
                <w:sz w:val="24"/>
                <w:szCs w:val="22"/>
              </w:rPr>
              <w:t>Lender or Servicer</w:t>
            </w:r>
          </w:p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121E6">
              <w:rPr>
                <w:rFonts w:ascii="Calibri" w:hAnsi="Calibri" w:cs="Calibri"/>
                <w:b/>
                <w:color w:val="auto"/>
                <w:szCs w:val="22"/>
                <w:u w:val="single"/>
              </w:rPr>
              <w:t>Required Surety Bond Amount</w:t>
            </w:r>
          </w:p>
        </w:tc>
        <w:tc>
          <w:tcPr>
            <w:tcW w:w="2832" w:type="dxa"/>
            <w:vAlign w:val="center"/>
          </w:tcPr>
          <w:p w:rsidR="00CA792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b/>
                <w:color w:val="4472C4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4472C4"/>
                <w:sz w:val="24"/>
                <w:szCs w:val="22"/>
              </w:rPr>
              <w:t>Broker</w:t>
            </w:r>
          </w:p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121E6">
              <w:rPr>
                <w:rFonts w:ascii="Calibri" w:hAnsi="Calibri" w:cs="Calibri"/>
                <w:b/>
                <w:color w:val="auto"/>
                <w:szCs w:val="22"/>
                <w:u w:val="single"/>
              </w:rPr>
              <w:t>Required Surety Bond Amount</w:t>
            </w:r>
          </w:p>
        </w:tc>
      </w:tr>
      <w:tr w:rsidR="00CA7920" w:rsidRPr="00740550" w:rsidTr="004121E6">
        <w:trPr>
          <w:trHeight w:val="170"/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Up to $1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Base Amount of 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150,000</w:t>
            </w:r>
          </w:p>
        </w:tc>
        <w:tc>
          <w:tcPr>
            <w:tcW w:w="2832" w:type="dxa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Base Amount of 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,000</w:t>
            </w:r>
          </w:p>
        </w:tc>
      </w:tr>
      <w:tr w:rsidR="00CA7920" w:rsidRPr="00740550" w:rsidTr="004121E6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$1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,000,001 to $5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250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</w:t>
            </w:r>
          </w:p>
        </w:tc>
        <w:tc>
          <w:tcPr>
            <w:tcW w:w="2832" w:type="dxa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125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</w:t>
            </w:r>
          </w:p>
        </w:tc>
      </w:tr>
      <w:tr w:rsidR="00CA7920" w:rsidRPr="00740550" w:rsidTr="004121E6">
        <w:trPr>
          <w:jc w:val="center"/>
        </w:trPr>
        <w:tc>
          <w:tcPr>
            <w:tcW w:w="2808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More Than $50,000,000.00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500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</w:t>
            </w:r>
          </w:p>
        </w:tc>
        <w:tc>
          <w:tcPr>
            <w:tcW w:w="2832" w:type="dxa"/>
            <w:vAlign w:val="center"/>
          </w:tcPr>
          <w:p w:rsidR="00CA7920" w:rsidRPr="00740550" w:rsidRDefault="00CA7920" w:rsidP="004121E6">
            <w:pPr>
              <w:pStyle w:val="NormalWeb"/>
              <w:spacing w:before="120" w:after="12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250</w:t>
            </w:r>
            <w:r w:rsidRPr="00740550">
              <w:rPr>
                <w:rFonts w:ascii="Calibri" w:hAnsi="Calibri" w:cs="Calibri"/>
                <w:color w:val="auto"/>
                <w:sz w:val="22"/>
                <w:szCs w:val="22"/>
              </w:rPr>
              <w:t>,000</w:t>
            </w:r>
          </w:p>
        </w:tc>
      </w:tr>
    </w:tbl>
    <w:p w:rsidR="00E67053" w:rsidRPr="004121E6" w:rsidRDefault="004121E6" w:rsidP="00850BAD">
      <w:pPr>
        <w:pStyle w:val="NormalWeb"/>
        <w:spacing w:before="240" w:after="240"/>
        <w:ind w:left="360"/>
        <w:rPr>
          <w:rFonts w:ascii="Calibri" w:hAnsi="Calibri" w:cs="Calibri"/>
          <w:b/>
          <w:i/>
          <w:color w:val="auto"/>
          <w:sz w:val="24"/>
          <w:szCs w:val="22"/>
        </w:rPr>
      </w:pPr>
      <w:r w:rsidRPr="004121E6">
        <w:rPr>
          <w:rFonts w:ascii="Calibri" w:hAnsi="Calibri" w:cs="Calibri"/>
          <w:b/>
          <w:i/>
          <w:color w:val="auto"/>
          <w:sz w:val="24"/>
          <w:szCs w:val="22"/>
        </w:rPr>
        <w:t xml:space="preserve">Surety bond amounts should </w:t>
      </w:r>
      <w:proofErr w:type="gramStart"/>
      <w:r w:rsidRPr="004121E6">
        <w:rPr>
          <w:rFonts w:ascii="Calibri" w:hAnsi="Calibri" w:cs="Calibri"/>
          <w:b/>
          <w:i/>
          <w:color w:val="auto"/>
          <w:sz w:val="24"/>
          <w:szCs w:val="22"/>
        </w:rPr>
        <w:t>be increased</w:t>
      </w:r>
      <w:proofErr w:type="gramEnd"/>
      <w:r w:rsidRPr="004121E6">
        <w:rPr>
          <w:rFonts w:ascii="Calibri" w:hAnsi="Calibri" w:cs="Calibri"/>
          <w:b/>
          <w:i/>
          <w:color w:val="auto"/>
          <w:sz w:val="24"/>
          <w:szCs w:val="22"/>
        </w:rPr>
        <w:t xml:space="preserve"> annually by May 31</w:t>
      </w:r>
      <w:r w:rsidRPr="004121E6">
        <w:rPr>
          <w:rFonts w:ascii="Calibri" w:hAnsi="Calibri" w:cs="Calibri"/>
          <w:b/>
          <w:i/>
          <w:color w:val="auto"/>
          <w:sz w:val="24"/>
          <w:szCs w:val="22"/>
          <w:vertAlign w:val="superscript"/>
        </w:rPr>
        <w:t>st</w:t>
      </w:r>
      <w:r w:rsidRPr="004121E6">
        <w:rPr>
          <w:rFonts w:ascii="Calibri" w:hAnsi="Calibri" w:cs="Calibri"/>
          <w:b/>
          <w:i/>
          <w:color w:val="auto"/>
          <w:sz w:val="24"/>
          <w:szCs w:val="22"/>
        </w:rPr>
        <w:t>, if applicable.</w:t>
      </w:r>
    </w:p>
    <w:p w:rsidR="000B1FB7" w:rsidRPr="00740550" w:rsidRDefault="000B1FB7" w:rsidP="00850BAD">
      <w:pPr>
        <w:pStyle w:val="Heading1"/>
        <w:spacing w:before="240" w:after="240"/>
        <w:rPr>
          <w:rFonts w:ascii="Calibri" w:hAnsi="Calibri" w:cs="Calibri"/>
          <w:color w:val="FF0000"/>
          <w:sz w:val="32"/>
          <w:szCs w:val="32"/>
        </w:rPr>
      </w:pPr>
      <w:r w:rsidRPr="00740550">
        <w:rPr>
          <w:rFonts w:ascii="Calibri" w:hAnsi="Calibri" w:cs="Calibri"/>
          <w:color w:val="5B9BD5"/>
          <w:sz w:val="32"/>
          <w:szCs w:val="32"/>
        </w:rPr>
        <w:t>Electronic Surety Bond Conversion Process</w:t>
      </w:r>
    </w:p>
    <w:p w:rsidR="004C5D42" w:rsidRPr="00740550" w:rsidRDefault="00D57834" w:rsidP="00850BAD">
      <w:pPr>
        <w:pStyle w:val="NormalWeb"/>
        <w:spacing w:before="240" w:after="240"/>
        <w:rPr>
          <w:rFonts w:ascii="Calibri" w:hAnsi="Calibri" w:cs="Calibri"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>What should licensees/registrants do first?</w:t>
      </w:r>
    </w:p>
    <w:p w:rsidR="00EE0982" w:rsidRPr="00740550" w:rsidRDefault="00216C6D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sz w:val="22"/>
          <w:szCs w:val="22"/>
        </w:rPr>
        <w:t>Current licensees/registrants must first grant authority to their surety bond producer in NMLS</w:t>
      </w:r>
      <w:proofErr w:type="gramStart"/>
      <w:r w:rsidRPr="00740550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Pr="00740550">
        <w:rPr>
          <w:rFonts w:ascii="Calibri" w:hAnsi="Calibri" w:cs="Calibri"/>
          <w:sz w:val="22"/>
          <w:szCs w:val="22"/>
        </w:rPr>
        <w:t>L</w:t>
      </w:r>
      <w:r w:rsidR="00F378C5" w:rsidRPr="00740550">
        <w:rPr>
          <w:rFonts w:ascii="Calibri" w:hAnsi="Calibri" w:cs="Calibri"/>
          <w:sz w:val="22"/>
          <w:szCs w:val="22"/>
        </w:rPr>
        <w:t>icensees</w:t>
      </w:r>
      <w:r w:rsidR="006518C8" w:rsidRPr="00740550">
        <w:rPr>
          <w:rFonts w:ascii="Calibri" w:hAnsi="Calibri" w:cs="Calibri"/>
          <w:sz w:val="22"/>
          <w:szCs w:val="22"/>
        </w:rPr>
        <w:t>/registrants</w:t>
      </w:r>
      <w:r w:rsidR="00F378C5" w:rsidRPr="00740550">
        <w:rPr>
          <w:rFonts w:ascii="Calibri" w:hAnsi="Calibri" w:cs="Calibri"/>
          <w:sz w:val="22"/>
          <w:szCs w:val="22"/>
        </w:rPr>
        <w:t xml:space="preserve"> </w:t>
      </w:r>
      <w:r w:rsidRPr="00740550">
        <w:rPr>
          <w:rFonts w:ascii="Calibri" w:hAnsi="Calibri" w:cs="Calibri"/>
          <w:sz w:val="22"/>
          <w:szCs w:val="22"/>
        </w:rPr>
        <w:t>must then contact their</w:t>
      </w:r>
      <w:r w:rsidR="006518C8" w:rsidRPr="00740550">
        <w:rPr>
          <w:rFonts w:ascii="Calibri" w:hAnsi="Calibri" w:cs="Calibri"/>
          <w:sz w:val="22"/>
          <w:szCs w:val="22"/>
        </w:rPr>
        <w:t xml:space="preserve"> </w:t>
      </w:r>
      <w:r w:rsidR="0040205C" w:rsidRPr="00740550">
        <w:rPr>
          <w:rFonts w:ascii="Calibri" w:hAnsi="Calibri" w:cs="Calibri"/>
          <w:sz w:val="22"/>
          <w:szCs w:val="22"/>
        </w:rPr>
        <w:t>s</w:t>
      </w:r>
      <w:r w:rsidR="006518C8" w:rsidRPr="00740550">
        <w:rPr>
          <w:rFonts w:ascii="Calibri" w:hAnsi="Calibri" w:cs="Calibri"/>
          <w:sz w:val="22"/>
          <w:szCs w:val="22"/>
        </w:rPr>
        <w:t xml:space="preserve">urety </w:t>
      </w:r>
      <w:r w:rsidR="0040205C" w:rsidRPr="00740550">
        <w:rPr>
          <w:rFonts w:ascii="Calibri" w:hAnsi="Calibri" w:cs="Calibri"/>
          <w:sz w:val="22"/>
          <w:szCs w:val="22"/>
        </w:rPr>
        <w:t>b</w:t>
      </w:r>
      <w:r w:rsidR="006518C8" w:rsidRPr="00740550">
        <w:rPr>
          <w:rFonts w:ascii="Calibri" w:hAnsi="Calibri" w:cs="Calibri"/>
          <w:sz w:val="22"/>
          <w:szCs w:val="22"/>
        </w:rPr>
        <w:t xml:space="preserve">ond </w:t>
      </w:r>
      <w:r w:rsidRPr="00740550">
        <w:rPr>
          <w:rFonts w:ascii="Calibri" w:hAnsi="Calibri" w:cs="Calibri"/>
          <w:color w:val="auto"/>
          <w:sz w:val="22"/>
          <w:szCs w:val="22"/>
        </w:rPr>
        <w:t>producer</w:t>
      </w:r>
      <w:r w:rsidR="006518C8" w:rsidRPr="00740550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740550">
        <w:rPr>
          <w:rFonts w:ascii="Calibri" w:hAnsi="Calibri" w:cs="Calibri"/>
          <w:color w:val="auto"/>
          <w:sz w:val="22"/>
          <w:szCs w:val="22"/>
        </w:rPr>
        <w:t>to prepare their electronic surety bond.</w:t>
      </w:r>
      <w:r w:rsidR="00A34B4C" w:rsidRPr="0074055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850BAD" w:rsidRPr="00740550" w:rsidRDefault="00850BAD" w:rsidP="00850BAD">
      <w:pPr>
        <w:pStyle w:val="NormalWeb"/>
        <w:spacing w:before="240" w:after="240"/>
        <w:rPr>
          <w:rFonts w:ascii="Calibri" w:hAnsi="Calibri" w:cs="Calibri"/>
          <w:b/>
          <w:color w:val="4F81BD"/>
          <w:sz w:val="24"/>
          <w:szCs w:val="22"/>
        </w:rPr>
      </w:pPr>
    </w:p>
    <w:p w:rsidR="000B1FB7" w:rsidRPr="00740550" w:rsidRDefault="000B1FB7" w:rsidP="00850BAD">
      <w:pPr>
        <w:pStyle w:val="NormalWeb"/>
        <w:spacing w:before="240" w:after="240"/>
        <w:rPr>
          <w:rFonts w:ascii="Calibri" w:hAnsi="Calibri" w:cs="Calibri"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How should the bond </w:t>
      </w:r>
      <w:proofErr w:type="gramStart"/>
      <w:r w:rsidRPr="00740550">
        <w:rPr>
          <w:rFonts w:ascii="Calibri" w:hAnsi="Calibri" w:cs="Calibri"/>
          <w:b/>
          <w:color w:val="4F81BD"/>
          <w:sz w:val="24"/>
          <w:szCs w:val="22"/>
        </w:rPr>
        <w:t>be prepared</w:t>
      </w:r>
      <w:proofErr w:type="gramEnd"/>
      <w:r w:rsidRPr="00740550">
        <w:rPr>
          <w:rFonts w:ascii="Calibri" w:hAnsi="Calibri" w:cs="Calibri"/>
          <w:b/>
          <w:color w:val="4F81BD"/>
          <w:sz w:val="24"/>
          <w:szCs w:val="22"/>
        </w:rPr>
        <w:t>?</w:t>
      </w:r>
    </w:p>
    <w:p w:rsidR="003911F6" w:rsidRPr="00740550" w:rsidRDefault="003911F6" w:rsidP="00850BAD">
      <w:pPr>
        <w:pStyle w:val="NormalWeb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>The bond number on the electronic surety bond should be the same as the</w:t>
      </w:r>
    </w:p>
    <w:p w:rsidR="003911F6" w:rsidRPr="00740550" w:rsidRDefault="003911F6" w:rsidP="00850BAD">
      <w:pPr>
        <w:pStyle w:val="NormalWeb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number that appears on the original bond form that was 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submitted</w:t>
      </w:r>
      <w:proofErr w:type="gramEnd"/>
      <w:r w:rsidRPr="00740550">
        <w:rPr>
          <w:rFonts w:ascii="Calibri" w:hAnsi="Calibri" w:cs="Calibri"/>
          <w:color w:val="auto"/>
          <w:sz w:val="22"/>
          <w:szCs w:val="22"/>
        </w:rPr>
        <w:t xml:space="preserve"> in hard copy.</w:t>
      </w:r>
    </w:p>
    <w:p w:rsidR="003911F6" w:rsidRPr="00740550" w:rsidRDefault="003911F6" w:rsidP="00850BAD">
      <w:pPr>
        <w:pStyle w:val="NormalWeb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The amount of the electronic surety bond must 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represent</w:t>
      </w:r>
      <w:proofErr w:type="gramEnd"/>
      <w:r w:rsidRPr="00740550">
        <w:rPr>
          <w:rFonts w:ascii="Calibri" w:hAnsi="Calibri" w:cs="Calibri"/>
          <w:color w:val="auto"/>
          <w:sz w:val="22"/>
          <w:szCs w:val="22"/>
        </w:rPr>
        <w:t xml:space="preserve"> the current bond</w:t>
      </w:r>
    </w:p>
    <w:p w:rsidR="00DF044F" w:rsidRPr="00740550" w:rsidRDefault="003911F6" w:rsidP="00850BAD">
      <w:pPr>
        <w:pStyle w:val="NormalWeb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>obligation, including all riders issued since the original date of the bond.</w:t>
      </w:r>
    </w:p>
    <w:p w:rsidR="00850BAD" w:rsidRPr="00740550" w:rsidRDefault="00850BAD" w:rsidP="00850BAD">
      <w:pPr>
        <w:pStyle w:val="NormalWeb"/>
        <w:spacing w:before="240" w:after="240"/>
        <w:rPr>
          <w:rFonts w:ascii="Calibri" w:hAnsi="Calibri" w:cs="Calibri"/>
          <w:b/>
          <w:color w:val="4F81BD"/>
          <w:sz w:val="24"/>
          <w:szCs w:val="22"/>
        </w:rPr>
      </w:pPr>
    </w:p>
    <w:p w:rsidR="000B1FB7" w:rsidRPr="00740550" w:rsidRDefault="000B1FB7" w:rsidP="00850BAD">
      <w:pPr>
        <w:pStyle w:val="NormalWeb"/>
        <w:spacing w:before="240" w:after="240"/>
        <w:rPr>
          <w:rFonts w:ascii="Calibri" w:hAnsi="Calibri" w:cs="Calibri"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How do licensees/registrants </w:t>
      </w:r>
      <w:proofErr w:type="gramStart"/>
      <w:r w:rsidRPr="00740550">
        <w:rPr>
          <w:rFonts w:ascii="Calibri" w:hAnsi="Calibri" w:cs="Calibri"/>
          <w:b/>
          <w:color w:val="4F81BD"/>
          <w:sz w:val="24"/>
          <w:szCs w:val="22"/>
        </w:rPr>
        <w:t>finalize</w:t>
      </w:r>
      <w:proofErr w:type="gramEnd"/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 their electronic surety bond in NMLS?</w:t>
      </w:r>
    </w:p>
    <w:p w:rsidR="0040205C" w:rsidRPr="00740550" w:rsidRDefault="0040205C" w:rsidP="00850BAD">
      <w:pPr>
        <w:pStyle w:val="NormalWeb"/>
        <w:spacing w:before="240" w:after="240"/>
        <w:ind w:left="360"/>
        <w:rPr>
          <w:rFonts w:ascii="Calibri" w:hAnsi="Calibri" w:cs="Calibri"/>
          <w:color w:val="auto"/>
          <w:sz w:val="22"/>
          <w:szCs w:val="22"/>
        </w:rPr>
      </w:pPr>
      <w:r w:rsidRPr="00740550">
        <w:rPr>
          <w:rFonts w:ascii="Calibri" w:hAnsi="Calibri" w:cs="Calibri"/>
          <w:color w:val="auto"/>
          <w:sz w:val="22"/>
          <w:szCs w:val="22"/>
        </w:rPr>
        <w:t xml:space="preserve">After the surety bond </w:t>
      </w:r>
      <w:r w:rsidR="00216C6D" w:rsidRPr="00740550">
        <w:rPr>
          <w:rFonts w:ascii="Calibri" w:hAnsi="Calibri" w:cs="Calibri"/>
          <w:color w:val="auto"/>
          <w:sz w:val="22"/>
          <w:szCs w:val="22"/>
        </w:rPr>
        <w:t>producer</w:t>
      </w:r>
      <w:r w:rsidRPr="00740550">
        <w:rPr>
          <w:rFonts w:ascii="Calibri" w:hAnsi="Calibri" w:cs="Calibri"/>
          <w:color w:val="auto"/>
          <w:sz w:val="22"/>
          <w:szCs w:val="22"/>
        </w:rPr>
        <w:t xml:space="preserve"> has prepared the bond in NMLS, </w:t>
      </w:r>
      <w:r w:rsidR="003911F6" w:rsidRPr="00740550">
        <w:rPr>
          <w:rFonts w:ascii="Calibri" w:hAnsi="Calibri" w:cs="Calibri"/>
          <w:color w:val="auto"/>
          <w:sz w:val="22"/>
          <w:szCs w:val="22"/>
        </w:rPr>
        <w:t>a duly authorized officer of the licensee</w:t>
      </w:r>
      <w:r w:rsidRPr="00740550">
        <w:rPr>
          <w:rFonts w:ascii="Calibri" w:hAnsi="Calibri" w:cs="Calibri"/>
          <w:color w:val="auto"/>
          <w:sz w:val="22"/>
          <w:szCs w:val="22"/>
        </w:rPr>
        <w:t xml:space="preserve"> must attest to and 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submit</w:t>
      </w:r>
      <w:proofErr w:type="gramEnd"/>
      <w:r w:rsidRPr="00740550">
        <w:rPr>
          <w:rFonts w:ascii="Calibri" w:hAnsi="Calibri" w:cs="Calibri"/>
          <w:color w:val="auto"/>
          <w:sz w:val="22"/>
          <w:szCs w:val="22"/>
        </w:rPr>
        <w:t xml:space="preserve"> the bond. The surety bond will then </w:t>
      </w:r>
      <w:proofErr w:type="gramStart"/>
      <w:r w:rsidRPr="00740550">
        <w:rPr>
          <w:rFonts w:ascii="Calibri" w:hAnsi="Calibri" w:cs="Calibri"/>
          <w:color w:val="auto"/>
          <w:sz w:val="22"/>
          <w:szCs w:val="22"/>
        </w:rPr>
        <w:t>be managed</w:t>
      </w:r>
      <w:proofErr w:type="gramEnd"/>
      <w:r w:rsidRPr="00740550">
        <w:rPr>
          <w:rFonts w:ascii="Calibri" w:hAnsi="Calibri" w:cs="Calibri"/>
          <w:color w:val="auto"/>
          <w:sz w:val="22"/>
          <w:szCs w:val="22"/>
        </w:rPr>
        <w:t xml:space="preserve"> entirely through NMLS. </w:t>
      </w:r>
    </w:p>
    <w:p w:rsidR="00850BAD" w:rsidRPr="00740550" w:rsidRDefault="00850BAD" w:rsidP="00850BAD">
      <w:pPr>
        <w:pStyle w:val="NormalWeb"/>
        <w:spacing w:before="240" w:after="240"/>
        <w:rPr>
          <w:rFonts w:ascii="Calibri" w:hAnsi="Calibri" w:cs="Calibri"/>
          <w:b/>
          <w:color w:val="4F81BD"/>
          <w:sz w:val="24"/>
          <w:szCs w:val="22"/>
        </w:rPr>
      </w:pPr>
    </w:p>
    <w:p w:rsidR="006518C8" w:rsidRPr="00740550" w:rsidRDefault="00D57834" w:rsidP="00850BAD">
      <w:pPr>
        <w:pStyle w:val="NormalWeb"/>
        <w:spacing w:before="240" w:after="240"/>
        <w:rPr>
          <w:rFonts w:ascii="Calibri" w:hAnsi="Calibri" w:cs="Calibri"/>
          <w:b/>
          <w:color w:val="4F81BD"/>
          <w:sz w:val="24"/>
          <w:szCs w:val="22"/>
        </w:rPr>
      </w:pPr>
      <w:r w:rsidRPr="00740550">
        <w:rPr>
          <w:rFonts w:ascii="Calibri" w:hAnsi="Calibri" w:cs="Calibri"/>
          <w:b/>
          <w:color w:val="4F81BD"/>
          <w:sz w:val="24"/>
          <w:szCs w:val="22"/>
        </w:rPr>
        <w:t xml:space="preserve">What resources are available to help with this </w:t>
      </w:r>
      <w:r w:rsidR="00A67A9F" w:rsidRPr="00740550">
        <w:rPr>
          <w:rFonts w:ascii="Calibri" w:hAnsi="Calibri" w:cs="Calibri"/>
          <w:b/>
          <w:color w:val="4F81BD"/>
          <w:sz w:val="24"/>
          <w:szCs w:val="22"/>
        </w:rPr>
        <w:t>conversion</w:t>
      </w:r>
      <w:r w:rsidRPr="00740550">
        <w:rPr>
          <w:rFonts w:ascii="Calibri" w:hAnsi="Calibri" w:cs="Calibri"/>
          <w:b/>
          <w:color w:val="4F81BD"/>
          <w:sz w:val="24"/>
          <w:szCs w:val="22"/>
        </w:rPr>
        <w:t>?</w:t>
      </w:r>
    </w:p>
    <w:p w:rsidR="00D57834" w:rsidRPr="00740550" w:rsidRDefault="00D57834" w:rsidP="00850BAD">
      <w:pPr>
        <w:spacing w:before="240" w:after="240"/>
        <w:ind w:left="360"/>
        <w:rPr>
          <w:rFonts w:ascii="Calibri" w:hAnsi="Calibri" w:cs="Calibri"/>
          <w:b/>
          <w:i/>
          <w:sz w:val="22"/>
          <w:szCs w:val="22"/>
        </w:rPr>
      </w:pPr>
      <w:r w:rsidRPr="00740550">
        <w:rPr>
          <w:rFonts w:ascii="Calibri" w:hAnsi="Calibri" w:cs="Calibri"/>
          <w:b/>
          <w:i/>
          <w:sz w:val="22"/>
          <w:szCs w:val="22"/>
        </w:rPr>
        <w:t xml:space="preserve">Electronic Surety Bond </w:t>
      </w:r>
      <w:r w:rsidR="006518C8" w:rsidRPr="00740550">
        <w:rPr>
          <w:rFonts w:ascii="Calibri" w:hAnsi="Calibri" w:cs="Calibri"/>
          <w:b/>
          <w:i/>
          <w:sz w:val="22"/>
          <w:szCs w:val="22"/>
        </w:rPr>
        <w:t>Training</w:t>
      </w:r>
    </w:p>
    <w:p w:rsidR="00193103" w:rsidRPr="00740550" w:rsidRDefault="00193103" w:rsidP="00850BAD">
      <w:pPr>
        <w:pStyle w:val="NormalWeb"/>
        <w:shd w:val="clear" w:color="auto" w:fill="FFFFFF"/>
        <w:spacing w:before="120"/>
        <w:ind w:left="720"/>
        <w:rPr>
          <w:rFonts w:ascii="Calibri" w:hAnsi="Calibri" w:cs="Calibri"/>
          <w:color w:val="222222"/>
          <w:sz w:val="22"/>
          <w:szCs w:val="22"/>
        </w:rPr>
      </w:pPr>
      <w:r w:rsidRPr="00740550">
        <w:rPr>
          <w:rFonts w:ascii="Calibri" w:hAnsi="Calibri" w:cs="Calibri"/>
          <w:color w:val="222222"/>
          <w:sz w:val="22"/>
          <w:szCs w:val="22"/>
        </w:rPr>
        <w:t xml:space="preserve">NMLS held a complimentary training session for state-licensed companies </w:t>
      </w:r>
      <w:proofErr w:type="gramStart"/>
      <w:r w:rsidRPr="00740550">
        <w:rPr>
          <w:rFonts w:ascii="Calibri" w:hAnsi="Calibri" w:cs="Calibri"/>
          <w:color w:val="222222"/>
          <w:sz w:val="22"/>
          <w:szCs w:val="22"/>
        </w:rPr>
        <w:t>impacted</w:t>
      </w:r>
      <w:proofErr w:type="gramEnd"/>
      <w:r w:rsidRPr="00740550">
        <w:rPr>
          <w:rFonts w:ascii="Calibri" w:hAnsi="Calibri" w:cs="Calibri"/>
          <w:color w:val="222222"/>
          <w:sz w:val="22"/>
          <w:szCs w:val="22"/>
        </w:rPr>
        <w:t xml:space="preserve"> by the ESB enhancements that became available in NMLS on September 10, 2016. The session, intended for Account Administrators (AAs), </w:t>
      </w:r>
      <w:proofErr w:type="gramStart"/>
      <w:r w:rsidRPr="00740550">
        <w:rPr>
          <w:rFonts w:ascii="Calibri" w:hAnsi="Calibri" w:cs="Calibri"/>
          <w:color w:val="222222"/>
          <w:sz w:val="22"/>
          <w:szCs w:val="22"/>
        </w:rPr>
        <w:t>provides</w:t>
      </w:r>
      <w:proofErr w:type="gramEnd"/>
      <w:r w:rsidRPr="00740550">
        <w:rPr>
          <w:rFonts w:ascii="Calibri" w:hAnsi="Calibri" w:cs="Calibri"/>
          <w:color w:val="222222"/>
          <w:sz w:val="22"/>
          <w:szCs w:val="22"/>
        </w:rPr>
        <w:t xml:space="preserve"> an overview of the ESB enhancements, including the bond creation and management process, a demonstration of the new functionality, and the resources available on the NMLS Resource Center.</w:t>
      </w:r>
    </w:p>
    <w:p w:rsidR="00193103" w:rsidRPr="00740550" w:rsidRDefault="00193103" w:rsidP="00850BAD">
      <w:pPr>
        <w:pStyle w:val="NormalWeb"/>
        <w:shd w:val="clear" w:color="auto" w:fill="FFFFFF"/>
        <w:spacing w:before="120"/>
        <w:ind w:left="720"/>
        <w:rPr>
          <w:rFonts w:ascii="Calibri" w:hAnsi="Calibri" w:cs="Calibri"/>
          <w:color w:val="1F497D"/>
          <w:sz w:val="22"/>
          <w:szCs w:val="22"/>
        </w:rPr>
      </w:pPr>
      <w:hyperlink r:id="rId11" w:history="1">
        <w:r w:rsidRPr="00740550">
          <w:rPr>
            <w:rStyle w:val="Hyperlink"/>
            <w:rFonts w:ascii="Calibri" w:hAnsi="Calibri" w:cs="Calibri"/>
            <w:color w:val="3366CC"/>
            <w:sz w:val="22"/>
            <w:szCs w:val="22"/>
          </w:rPr>
          <w:t>Click here</w:t>
        </w:r>
      </w:hyperlink>
      <w:r w:rsidRPr="00740550">
        <w:rPr>
          <w:rFonts w:ascii="Calibri" w:hAnsi="Calibri" w:cs="Calibri"/>
          <w:color w:val="222222"/>
          <w:sz w:val="22"/>
          <w:szCs w:val="22"/>
        </w:rPr>
        <w:t>  to log in to the LMS and access the recording.</w:t>
      </w:r>
      <w:r w:rsidRPr="00740550">
        <w:rPr>
          <w:rFonts w:ascii="Calibri" w:hAnsi="Calibri" w:cs="Calibri"/>
          <w:color w:val="0070C0"/>
          <w:sz w:val="22"/>
          <w:szCs w:val="22"/>
        </w:rPr>
        <w:t xml:space="preserve"> </w:t>
      </w:r>
      <w:r w:rsidRPr="00740550">
        <w:rPr>
          <w:rFonts w:ascii="Calibri" w:hAnsi="Calibri" w:cs="Calibri"/>
          <w:sz w:val="22"/>
          <w:szCs w:val="22"/>
        </w:rPr>
        <w:t xml:space="preserve">    </w:t>
      </w:r>
    </w:p>
    <w:p w:rsidR="00D57834" w:rsidRPr="00740550" w:rsidRDefault="00D57834" w:rsidP="00850BAD">
      <w:pPr>
        <w:spacing w:before="240" w:after="240"/>
        <w:ind w:left="360"/>
        <w:rPr>
          <w:rFonts w:ascii="Calibri" w:hAnsi="Calibri" w:cs="Calibri"/>
          <w:b/>
          <w:i/>
          <w:sz w:val="22"/>
          <w:szCs w:val="22"/>
        </w:rPr>
      </w:pPr>
      <w:r w:rsidRPr="00740550">
        <w:rPr>
          <w:rFonts w:ascii="Calibri" w:hAnsi="Calibri" w:cs="Calibri"/>
          <w:b/>
          <w:i/>
          <w:sz w:val="22"/>
          <w:szCs w:val="22"/>
        </w:rPr>
        <w:t>Electronic Surety Bond Guides</w:t>
      </w:r>
    </w:p>
    <w:p w:rsidR="00D57834" w:rsidRPr="00740550" w:rsidRDefault="00E629EA" w:rsidP="00850BAD">
      <w:pPr>
        <w:spacing w:before="240" w:after="240"/>
        <w:ind w:left="720"/>
        <w:rPr>
          <w:rFonts w:ascii="Calibri" w:hAnsi="Calibri" w:cs="Calibri"/>
          <w:sz w:val="22"/>
          <w:szCs w:val="22"/>
        </w:rPr>
      </w:pPr>
      <w:r w:rsidRPr="00740550">
        <w:rPr>
          <w:rFonts w:ascii="Calibri" w:hAnsi="Calibri" w:cs="Calibri"/>
          <w:sz w:val="22"/>
          <w:szCs w:val="22"/>
        </w:rPr>
        <w:t>Visit the </w:t>
      </w:r>
      <w:hyperlink r:id="rId12" w:history="1">
        <w:r w:rsidRPr="00740550">
          <w:rPr>
            <w:rStyle w:val="Hyperlink"/>
            <w:rFonts w:ascii="Calibri" w:hAnsi="Calibri" w:cs="Calibri"/>
            <w:sz w:val="22"/>
            <w:szCs w:val="22"/>
          </w:rPr>
          <w:t>ESB for NMLS Licensees page</w:t>
        </w:r>
      </w:hyperlink>
      <w:r w:rsidRPr="00740550">
        <w:rPr>
          <w:rFonts w:ascii="Calibri" w:hAnsi="Calibri" w:cs="Calibri"/>
          <w:sz w:val="22"/>
          <w:szCs w:val="22"/>
        </w:rPr>
        <w:t xml:space="preserve"> of the NMLS </w:t>
      </w:r>
      <w:r w:rsidR="00BB78CB" w:rsidRPr="00740550">
        <w:rPr>
          <w:rFonts w:ascii="Calibri" w:hAnsi="Calibri" w:cs="Calibri"/>
          <w:sz w:val="22"/>
          <w:szCs w:val="22"/>
        </w:rPr>
        <w:t xml:space="preserve">Resource </w:t>
      </w:r>
      <w:r w:rsidRPr="00740550">
        <w:rPr>
          <w:rFonts w:ascii="Calibri" w:hAnsi="Calibri" w:cs="Calibri"/>
          <w:sz w:val="22"/>
          <w:szCs w:val="22"/>
        </w:rPr>
        <w:t xml:space="preserve">Center for more information about the Electronic Surety Bond process.    </w:t>
      </w:r>
    </w:p>
    <w:sectPr w:rsidR="00D57834" w:rsidRPr="00740550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8F" w:rsidRDefault="00FE6C8F">
      <w:r>
        <w:separator/>
      </w:r>
    </w:p>
  </w:endnote>
  <w:endnote w:type="continuationSeparator" w:id="0">
    <w:p w:rsidR="00FE6C8F" w:rsidRDefault="00F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D9" w:rsidRPr="00730267" w:rsidRDefault="003860D9" w:rsidP="003860D9">
    <w:pPr>
      <w:pStyle w:val="Footer"/>
      <w:jc w:val="center"/>
      <w:rPr>
        <w:rFonts w:ascii="Calibri" w:hAnsi="Calibri"/>
        <w:sz w:val="20"/>
      </w:rPr>
    </w:pPr>
    <w:r w:rsidRPr="00730267">
      <w:rPr>
        <w:rFonts w:ascii="Calibri" w:hAnsi="Calibri"/>
        <w:sz w:val="20"/>
      </w:rPr>
      <w:t xml:space="preserve">Updated </w:t>
    </w:r>
    <w:r w:rsidR="004121E6">
      <w:rPr>
        <w:rFonts w:ascii="Calibri" w:hAnsi="Calibri"/>
        <w:sz w:val="20"/>
      </w:rPr>
      <w:t>4/30/2018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8F" w:rsidRDefault="00FE6C8F">
      <w:r>
        <w:separator/>
      </w:r>
    </w:p>
  </w:footnote>
  <w:footnote w:type="continuationSeparator" w:id="0">
    <w:p w:rsidR="00FE6C8F" w:rsidRDefault="00FE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AD" w:rsidRPr="009B756C" w:rsidRDefault="002762AD">
    <w:pPr>
      <w:pStyle w:val="Header"/>
      <w:rPr>
        <w:rFonts w:ascii="Calibri" w:hAnsi="Calibri"/>
        <w:sz w:val="22"/>
      </w:rPr>
    </w:pPr>
    <w:r w:rsidRPr="009B756C">
      <w:rPr>
        <w:sz w:val="22"/>
      </w:rPr>
      <w:tab/>
    </w:r>
    <w:r w:rsidRPr="009B756C">
      <w:rPr>
        <w:sz w:val="22"/>
      </w:rPr>
      <w:tab/>
    </w:r>
    <w:r w:rsidRPr="009B756C">
      <w:rPr>
        <w:rFonts w:ascii="Calibri" w:hAnsi="Calibri"/>
        <w:sz w:val="22"/>
      </w:rPr>
      <w:t>Mandatory</w:t>
    </w:r>
    <w:r w:rsidR="006518C8" w:rsidRPr="009B756C">
      <w:rPr>
        <w:rFonts w:ascii="Calibri" w:hAnsi="Calibri"/>
        <w:sz w:val="22"/>
      </w:rPr>
      <w:t xml:space="preserve"> NMLS ESB </w:t>
    </w:r>
    <w:r w:rsidR="00A67A9F">
      <w:rPr>
        <w:rFonts w:ascii="Calibri" w:hAnsi="Calibri"/>
        <w:sz w:val="22"/>
      </w:rPr>
      <w:t>Conversion</w:t>
    </w:r>
    <w:r w:rsidR="00791FE9">
      <w:rPr>
        <w:rFonts w:ascii="Calibri" w:hAnsi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E91"/>
    <w:multiLevelType w:val="hybridMultilevel"/>
    <w:tmpl w:val="004819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C9D"/>
    <w:multiLevelType w:val="hybridMultilevel"/>
    <w:tmpl w:val="8F9A875E"/>
    <w:lvl w:ilvl="0" w:tplc="B6E61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F0FCC"/>
    <w:multiLevelType w:val="hybridMultilevel"/>
    <w:tmpl w:val="2F5059FA"/>
    <w:lvl w:ilvl="0" w:tplc="E4F8AC7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84EB2"/>
    <w:multiLevelType w:val="hybridMultilevel"/>
    <w:tmpl w:val="3FCCFE56"/>
    <w:lvl w:ilvl="0" w:tplc="D4323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C5"/>
    <w:rsid w:val="0000214B"/>
    <w:rsid w:val="00010D40"/>
    <w:rsid w:val="00012A94"/>
    <w:rsid w:val="0008690F"/>
    <w:rsid w:val="000B1FB7"/>
    <w:rsid w:val="000B5B6D"/>
    <w:rsid w:val="000C0183"/>
    <w:rsid w:val="000D0F4A"/>
    <w:rsid w:val="000D467D"/>
    <w:rsid w:val="000E0F05"/>
    <w:rsid w:val="000E7C4C"/>
    <w:rsid w:val="00101FA0"/>
    <w:rsid w:val="001326D1"/>
    <w:rsid w:val="00132A98"/>
    <w:rsid w:val="00141CEB"/>
    <w:rsid w:val="00154E7E"/>
    <w:rsid w:val="0015683F"/>
    <w:rsid w:val="00161D75"/>
    <w:rsid w:val="00193103"/>
    <w:rsid w:val="00194635"/>
    <w:rsid w:val="001B6321"/>
    <w:rsid w:val="001B69F5"/>
    <w:rsid w:val="001E0B3A"/>
    <w:rsid w:val="001E1840"/>
    <w:rsid w:val="001E21CE"/>
    <w:rsid w:val="00213077"/>
    <w:rsid w:val="002142D3"/>
    <w:rsid w:val="00216C6D"/>
    <w:rsid w:val="0022541A"/>
    <w:rsid w:val="00274257"/>
    <w:rsid w:val="002762AD"/>
    <w:rsid w:val="00280D45"/>
    <w:rsid w:val="00286D97"/>
    <w:rsid w:val="002A74B5"/>
    <w:rsid w:val="002C7D25"/>
    <w:rsid w:val="002D600E"/>
    <w:rsid w:val="003347C3"/>
    <w:rsid w:val="003433D9"/>
    <w:rsid w:val="003579C4"/>
    <w:rsid w:val="003860D9"/>
    <w:rsid w:val="003911F6"/>
    <w:rsid w:val="00396ABE"/>
    <w:rsid w:val="00397E14"/>
    <w:rsid w:val="003A49B3"/>
    <w:rsid w:val="003E0B25"/>
    <w:rsid w:val="0040205C"/>
    <w:rsid w:val="004121E6"/>
    <w:rsid w:val="0047190F"/>
    <w:rsid w:val="004A3936"/>
    <w:rsid w:val="004C1C9B"/>
    <w:rsid w:val="004C5D42"/>
    <w:rsid w:val="004C668F"/>
    <w:rsid w:val="004C7AE9"/>
    <w:rsid w:val="004D06C2"/>
    <w:rsid w:val="0052627F"/>
    <w:rsid w:val="00553FE6"/>
    <w:rsid w:val="00593203"/>
    <w:rsid w:val="005A278E"/>
    <w:rsid w:val="005A78B6"/>
    <w:rsid w:val="0060038B"/>
    <w:rsid w:val="00604208"/>
    <w:rsid w:val="006114C4"/>
    <w:rsid w:val="006234DF"/>
    <w:rsid w:val="00627EC6"/>
    <w:rsid w:val="0063649A"/>
    <w:rsid w:val="006518C8"/>
    <w:rsid w:val="00665FF5"/>
    <w:rsid w:val="00681520"/>
    <w:rsid w:val="006D690A"/>
    <w:rsid w:val="006F4351"/>
    <w:rsid w:val="00730267"/>
    <w:rsid w:val="00730839"/>
    <w:rsid w:val="00740550"/>
    <w:rsid w:val="00740792"/>
    <w:rsid w:val="00750631"/>
    <w:rsid w:val="00761388"/>
    <w:rsid w:val="007918F3"/>
    <w:rsid w:val="00791FE9"/>
    <w:rsid w:val="00820E0E"/>
    <w:rsid w:val="00827AB6"/>
    <w:rsid w:val="00850BAD"/>
    <w:rsid w:val="00860E92"/>
    <w:rsid w:val="00866015"/>
    <w:rsid w:val="008950A4"/>
    <w:rsid w:val="008C2FEF"/>
    <w:rsid w:val="008D6438"/>
    <w:rsid w:val="00903E8E"/>
    <w:rsid w:val="009A5D10"/>
    <w:rsid w:val="009B756C"/>
    <w:rsid w:val="009C3EC2"/>
    <w:rsid w:val="009E0969"/>
    <w:rsid w:val="009F3087"/>
    <w:rsid w:val="00A03854"/>
    <w:rsid w:val="00A34B4C"/>
    <w:rsid w:val="00A443F8"/>
    <w:rsid w:val="00A5723F"/>
    <w:rsid w:val="00A67A9F"/>
    <w:rsid w:val="00AB011B"/>
    <w:rsid w:val="00AB1E16"/>
    <w:rsid w:val="00AF4FFC"/>
    <w:rsid w:val="00B041D2"/>
    <w:rsid w:val="00B07426"/>
    <w:rsid w:val="00B214A4"/>
    <w:rsid w:val="00B2558B"/>
    <w:rsid w:val="00B32B08"/>
    <w:rsid w:val="00B418BE"/>
    <w:rsid w:val="00B5551A"/>
    <w:rsid w:val="00BB78CB"/>
    <w:rsid w:val="00BC49F8"/>
    <w:rsid w:val="00BD1DFC"/>
    <w:rsid w:val="00C33018"/>
    <w:rsid w:val="00CA7920"/>
    <w:rsid w:val="00CC44E0"/>
    <w:rsid w:val="00CD3C61"/>
    <w:rsid w:val="00CE3BEE"/>
    <w:rsid w:val="00D00C55"/>
    <w:rsid w:val="00D034C6"/>
    <w:rsid w:val="00D52113"/>
    <w:rsid w:val="00D5358D"/>
    <w:rsid w:val="00D57834"/>
    <w:rsid w:val="00D7160A"/>
    <w:rsid w:val="00D76844"/>
    <w:rsid w:val="00D84784"/>
    <w:rsid w:val="00D94296"/>
    <w:rsid w:val="00DA6655"/>
    <w:rsid w:val="00DB7A08"/>
    <w:rsid w:val="00DC50FE"/>
    <w:rsid w:val="00DC7117"/>
    <w:rsid w:val="00DF044F"/>
    <w:rsid w:val="00E222F5"/>
    <w:rsid w:val="00E451E4"/>
    <w:rsid w:val="00E629EA"/>
    <w:rsid w:val="00E67053"/>
    <w:rsid w:val="00E95171"/>
    <w:rsid w:val="00EE0982"/>
    <w:rsid w:val="00EE1694"/>
    <w:rsid w:val="00EE3B0A"/>
    <w:rsid w:val="00EF1229"/>
    <w:rsid w:val="00F17BDE"/>
    <w:rsid w:val="00F378C5"/>
    <w:rsid w:val="00F5090E"/>
    <w:rsid w:val="00F63B95"/>
    <w:rsid w:val="00F91B88"/>
    <w:rsid w:val="00FA17FD"/>
    <w:rsid w:val="00FA392F"/>
    <w:rsid w:val="00FA4D2B"/>
    <w:rsid w:val="00FA56C7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4DAAA4"/>
  <w15:chartTrackingRefBased/>
  <w15:docId w15:val="{DB0DBC4E-4CA9-42F0-88DE-70AA216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378C5"/>
    <w:pPr>
      <w:outlineLvl w:val="0"/>
    </w:pPr>
    <w:rPr>
      <w:b/>
      <w:bCs/>
      <w:color w:val="4E6172"/>
      <w:kern w:val="36"/>
      <w:sz w:val="29"/>
      <w:szCs w:val="29"/>
    </w:rPr>
  </w:style>
  <w:style w:type="paragraph" w:styleId="Heading3">
    <w:name w:val="heading 3"/>
    <w:basedOn w:val="Normal"/>
    <w:qFormat/>
    <w:rsid w:val="00F378C5"/>
    <w:pPr>
      <w:outlineLvl w:val="2"/>
    </w:pPr>
    <w:rPr>
      <w:b/>
      <w:bCs/>
      <w:color w:val="4E6172"/>
      <w:sz w:val="23"/>
      <w:szCs w:val="2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F378C5"/>
    <w:rPr>
      <w:color w:val="000000"/>
      <w:sz w:val="20"/>
      <w:szCs w:val="20"/>
    </w:rPr>
  </w:style>
  <w:style w:type="paragraph" w:styleId="Header">
    <w:name w:val="header"/>
    <w:basedOn w:val="Normal"/>
    <w:rsid w:val="00623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4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22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22F5"/>
    <w:rPr>
      <w:sz w:val="16"/>
      <w:szCs w:val="16"/>
    </w:rPr>
  </w:style>
  <w:style w:type="paragraph" w:styleId="CommentText">
    <w:name w:val="annotation text"/>
    <w:basedOn w:val="Normal"/>
    <w:semiHidden/>
    <w:rsid w:val="00E222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22F5"/>
    <w:rPr>
      <w:b/>
      <w:bCs/>
    </w:rPr>
  </w:style>
  <w:style w:type="paragraph" w:styleId="Revision">
    <w:name w:val="Revision"/>
    <w:hidden/>
    <w:uiPriority w:val="99"/>
    <w:semiHidden/>
    <w:rsid w:val="00B2558B"/>
    <w:rPr>
      <w:sz w:val="24"/>
      <w:szCs w:val="24"/>
    </w:rPr>
  </w:style>
  <w:style w:type="character" w:styleId="Hyperlink">
    <w:name w:val="Hyperlink"/>
    <w:rsid w:val="006518C8"/>
    <w:rPr>
      <w:color w:val="0563C1"/>
      <w:u w:val="single"/>
    </w:rPr>
  </w:style>
  <w:style w:type="character" w:styleId="FollowedHyperlink">
    <w:name w:val="FollowedHyperlink"/>
    <w:rsid w:val="00D57834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7160A"/>
    <w:rPr>
      <w:sz w:val="24"/>
      <w:szCs w:val="24"/>
    </w:rPr>
  </w:style>
  <w:style w:type="table" w:styleId="TableGrid">
    <w:name w:val="Table Grid"/>
    <w:basedOn w:val="TableNormal"/>
    <w:rsid w:val="0085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ortgage.nationwidelicensingsystem.org/Pages/ESBforNMLSLicense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bstraining.org/lms/index.php?r=course/deeplink&amp;course_id=538&amp;generated_by=12314&amp;hash=38c33e8e4d215fb9694957fa3cb40f01ab27694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te Document" ma:contentTypeID="0x010100425D3DAAD6E847BF8405689C07C7419900A2577F482AC22E4A9D9DF659E2D1C721" ma:contentTypeVersion="4" ma:contentTypeDescription="CSBS State Extranet - State Document" ma:contentTypeScope="" ma:versionID="1bc4c037c114b0539bc4982a8fccd223">
  <xsd:schema xmlns:xsd="http://www.w3.org/2001/XMLSchema" xmlns:p="http://schemas.microsoft.com/office/2006/metadata/properties" xmlns:ns1="http://schemas.microsoft.com/sharepoint/v3" xmlns:ns2="0fbeaa97-7cb0-4486-832f-945e1aeed38d" xmlns:ns4="8a6da4f6-8c17-4e87-b330-738aa7610e80" targetNamespace="http://schemas.microsoft.com/office/2006/metadata/properties" ma:root="true" ma:fieldsID="7d1090475ec82e08dc9436de6be958eb" ns1:_="" ns2:_="" ns4:_="">
    <xsd:import namespace="http://schemas.microsoft.com/sharepoint/v3"/>
    <xsd:import namespace="0fbeaa97-7cb0-4486-832f-945e1aeed38d"/>
    <xsd:import namespace="8a6da4f6-8c17-4e87-b330-738aa7610e80"/>
    <xsd:element name="properties">
      <xsd:complexType>
        <xsd:sequence>
          <xsd:element name="documentManagement">
            <xsd:complexType>
              <xsd:all>
                <xsd:element ref="ns1:_LicenseValues" minOccurs="0"/>
                <xsd:element ref="ns2:SDAssociatedLicenseMenu" minOccurs="0"/>
                <xsd:element ref="ns1:PublishingStartDate" minOccurs="0"/>
                <xsd:element ref="ns1:PublishingExpirationDate" minOccurs="0"/>
                <xsd:element ref="ns1:Entity" minOccurs="0"/>
                <xsd:element ref="ns1:License" minOccurs="0"/>
                <xsd:element ref="ns1:State" minOccurs="0"/>
                <xsd:element ref="ns4:LastPublish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LicenseValues" ma:index="2" nillable="true" ma:displayName="Associated License" ma:internalName="_LicenseValues" ma:readOnly="false">
      <xsd:simpleType>
        <xsd:restriction base="dms:MultiChoice"/>
      </xsd:simpleType>
    </xsd:element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  <xsd:element name="Entity" ma:index="6" nillable="true" ma:displayName="Entity" ma:internalName="Entity">
      <xsd:simpleType>
        <xsd:restriction base="dms:Text"/>
      </xsd:simpleType>
    </xsd:element>
    <xsd:element name="License" ma:index="7" nillable="true" ma:displayName="License" ma:internalName="License">
      <xsd:simpleType>
        <xsd:restriction base="dms:Text"/>
      </xsd:simpleType>
    </xsd:element>
    <xsd:element name="State" ma:index="8" nillable="true" ma:displayName="State" ma:internalName="Stat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0fbeaa97-7cb0-4486-832f-945e1aeed38d" elementFormDefault="qualified">
    <xsd:import namespace="http://schemas.microsoft.com/office/2006/documentManagement/types"/>
    <xsd:element name="SDAssociatedLicenseMenu" ma:index="3" nillable="true" ma:displayName="Document Type" ma:format="RadioButtons" ma:internalName="SDAssociatedLicenseMenu">
      <xsd:simpleType>
        <xsd:restriction base="dms:Choice">
          <xsd:enumeration value="New Application"/>
          <xsd:enumeration value="Amendment"/>
          <xsd:enumeration value="Surrender"/>
          <xsd:enumeration value="Transition To NMLS"/>
          <xsd:enumeration value="Description"/>
        </xsd:restriction>
      </xsd:simpleType>
    </xsd:element>
  </xsd:schema>
  <xsd:schema xmlns:xsd="http://www.w3.org/2001/XMLSchema" xmlns:dms="http://schemas.microsoft.com/office/2006/documentManagement/types" targetNamespace="8a6da4f6-8c17-4e87-b330-738aa7610e80" elementFormDefault="qualified">
    <xsd:import namespace="http://schemas.microsoft.com/office/2006/documentManagement/types"/>
    <xsd:element name="LastPublishedDate" ma:index="16" nillable="true" ma:displayName="LastPublishedDate" ma:format="DateTime" ma:internalName="LastPublish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1800E-19A0-405A-ADE3-817D80DB413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90A732-030B-4D7E-8D29-5C78E1637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eaa97-7cb0-4486-832f-945e1aeed38d"/>
    <ds:schemaRef ds:uri="8a6da4f6-8c17-4e87-b330-738aa7610e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3658DE-A3D0-4321-A0AF-C92D3FF05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0E35D-D28A-4132-B91F-3340A2D2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Transition-Plan-Expansion-Mandatory</vt:lpstr>
    </vt:vector>
  </TitlesOfParts>
  <Company>Conference of State Bank Supervisors</Company>
  <LinksUpToDate>false</LinksUpToDate>
  <CharactersWithSpaces>3103</CharactersWithSpaces>
  <SharedDoc>false</SharedDoc>
  <HLinks>
    <vt:vector size="12" baseType="variant"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http://mortgage.nationwidelicensingsystem.org/Pages/ESBforNMLSLicensees.aspx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https://www.csbstraining.org/lms/index.php?r=course/deeplink&amp;course_id=538&amp;generated_by=12314&amp;hash=38c33e8e4d215fb9694957fa3cb40f01ab27694c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Transition-Plan-Expansion-Mandatory</dc:title>
  <dc:subject/>
  <dc:creator>Vickie.Slater</dc:creator>
  <cp:keywords/>
  <cp:lastModifiedBy>Ryals, Stephanie</cp:lastModifiedBy>
  <cp:revision>3</cp:revision>
  <dcterms:created xsi:type="dcterms:W3CDTF">2018-04-30T16:41:00Z</dcterms:created>
  <dcterms:modified xsi:type="dcterms:W3CDTF">2018-04-30T16:43:00Z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LSResourceTopic">
    <vt:lpwstr/>
  </property>
  <property fmtid="{D5CDD505-2E9C-101B-9397-08002B2CF9AE}" pid="3" name="NMLS Resource Type">
    <vt:lpwstr>Reference Guide</vt:lpwstr>
  </property>
  <property fmtid="{D5CDD505-2E9C-101B-9397-08002B2CF9AE}" pid="4" name="DocumentAbstract">
    <vt:lpwstr/>
  </property>
  <property fmtid="{D5CDD505-2E9C-101B-9397-08002B2CF9AE}" pid="5" name="UserType">
    <vt:lpwstr>Regulator</vt:lpwstr>
  </property>
  <property fmtid="{D5CDD505-2E9C-101B-9397-08002B2CF9AE}" pid="6" name="DocumentSortPriority">
    <vt:lpwstr>0</vt:lpwstr>
  </property>
  <property fmtid="{D5CDD505-2E9C-101B-9397-08002B2CF9AE}" pid="7" name="Dev Functionality">
    <vt:lpwstr/>
  </property>
  <property fmtid="{D5CDD505-2E9C-101B-9397-08002B2CF9AE}" pid="8" name="ContentType">
    <vt:lpwstr>State Document</vt:lpwstr>
  </property>
  <property fmtid="{D5CDD505-2E9C-101B-9397-08002B2CF9AE}" pid="9" name="GroupNumber">
    <vt:lpwstr/>
  </property>
  <property fmtid="{D5CDD505-2E9C-101B-9397-08002B2CF9AE}" pid="10" name="ArticleStartDate">
    <vt:lpwstr/>
  </property>
  <property fmtid="{D5CDD505-2E9C-101B-9397-08002B2CF9AE}" pid="11" name="Archive">
    <vt:lpwstr>0</vt:lpwstr>
  </property>
  <property fmtid="{D5CDD505-2E9C-101B-9397-08002B2CF9AE}" pid="12" name="Topic">
    <vt:lpwstr>Transition Documents</vt:lpwstr>
  </property>
  <property fmtid="{D5CDD505-2E9C-101B-9397-08002B2CF9AE}" pid="13" name="SDAssociatedLicenseMenu">
    <vt:lpwstr/>
  </property>
  <property fmtid="{D5CDD505-2E9C-101B-9397-08002B2CF9AE}" pid="14" name="License">
    <vt:lpwstr/>
  </property>
  <property fmtid="{D5CDD505-2E9C-101B-9397-08002B2CF9AE}" pid="15" name="State">
    <vt:lpwstr/>
  </property>
  <property fmtid="{D5CDD505-2E9C-101B-9397-08002B2CF9AE}" pid="16" name="_LicenseValues">
    <vt:lpwstr/>
  </property>
  <property fmtid="{D5CDD505-2E9C-101B-9397-08002B2CF9AE}" pid="17" name="Entity">
    <vt:lpwstr/>
  </property>
</Properties>
</file>